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rPr>
          <w:rFonts w:ascii="Times New Roman"/>
          <w:noProof/>
          <w:lang w:val="tr-TR"/>
        </w:rPr>
      </w:pPr>
    </w:p>
    <w:p w:rsidR="008F5F09" w:rsidRPr="00793123" w:rsidRDefault="008F5F09">
      <w:pPr>
        <w:pStyle w:val="GvdeMetni"/>
        <w:spacing w:before="2"/>
        <w:rPr>
          <w:rFonts w:ascii="Times New Roman"/>
          <w:noProof/>
          <w:sz w:val="26"/>
          <w:lang w:val="tr-TR"/>
        </w:rPr>
      </w:pPr>
    </w:p>
    <w:p w:rsidR="00917EF6" w:rsidRPr="00793123" w:rsidRDefault="00917EF6">
      <w:pPr>
        <w:pStyle w:val="KonuBal"/>
        <w:spacing w:line="458" w:lineRule="auto"/>
        <w:rPr>
          <w:noProof/>
          <w:color w:val="003E6C"/>
          <w:w w:val="90"/>
          <w:lang w:val="tr-TR"/>
        </w:rPr>
      </w:pPr>
      <w:r w:rsidRPr="00793123">
        <w:rPr>
          <w:noProof/>
          <w:color w:val="003E6C"/>
          <w:w w:val="90"/>
          <w:lang w:val="tr-TR"/>
        </w:rPr>
        <w:t>Rüşveti ve Yolsuzluğu Önlemeye</w:t>
      </w:r>
      <w:r w:rsidR="008911B2">
        <w:rPr>
          <w:noProof/>
          <w:color w:val="003E6C"/>
          <w:w w:val="90"/>
          <w:lang w:val="tr-TR"/>
        </w:rPr>
        <w:t xml:space="preserve"> İlişkin</w:t>
      </w:r>
    </w:p>
    <w:p w:rsidR="008F5F09" w:rsidRPr="00793123" w:rsidRDefault="00917EF6">
      <w:pPr>
        <w:pStyle w:val="KonuBal"/>
        <w:spacing w:line="458" w:lineRule="auto"/>
        <w:rPr>
          <w:noProof/>
          <w:lang w:val="tr-TR"/>
        </w:rPr>
      </w:pPr>
      <w:r w:rsidRPr="00793123">
        <w:rPr>
          <w:noProof/>
          <w:color w:val="003E6C"/>
          <w:w w:val="90"/>
          <w:lang w:val="tr-TR"/>
        </w:rPr>
        <w:t xml:space="preserve">    </w:t>
      </w:r>
      <w:r w:rsidR="008911B2">
        <w:rPr>
          <w:noProof/>
          <w:color w:val="003E6C"/>
          <w:w w:val="90"/>
          <w:lang w:val="tr-TR"/>
        </w:rPr>
        <w:t xml:space="preserve">    </w:t>
      </w:r>
      <w:bookmarkStart w:id="0" w:name="_GoBack"/>
      <w:bookmarkEnd w:id="0"/>
      <w:r w:rsidRPr="00793123">
        <w:rPr>
          <w:noProof/>
          <w:color w:val="003E6C"/>
          <w:w w:val="90"/>
          <w:lang w:val="tr-TR"/>
        </w:rPr>
        <w:t>Küresel Uygunluk Politikası</w:t>
      </w:r>
    </w:p>
    <w:p w:rsidR="008F5F09" w:rsidRPr="00793123" w:rsidRDefault="008F5F09">
      <w:pPr>
        <w:spacing w:line="458" w:lineRule="auto"/>
        <w:rPr>
          <w:noProof/>
          <w:lang w:val="tr-TR"/>
        </w:rPr>
        <w:sectPr w:rsidR="008F5F09" w:rsidRPr="00793123">
          <w:headerReference w:type="default" r:id="rId7"/>
          <w:footerReference w:type="default" r:id="rId8"/>
          <w:type w:val="continuous"/>
          <w:pgSz w:w="11910" w:h="16840"/>
          <w:pgMar w:top="2080" w:right="1300" w:bottom="1400" w:left="1300" w:header="567" w:footer="1201" w:gutter="0"/>
          <w:pgNumType w:start="1"/>
          <w:cols w:space="708"/>
        </w:sectPr>
      </w:pPr>
    </w:p>
    <w:p w:rsidR="008F5F09" w:rsidRPr="00793123" w:rsidRDefault="008F5F09">
      <w:pPr>
        <w:pStyle w:val="GvdeMetni"/>
        <w:rPr>
          <w:b/>
          <w:noProof/>
          <w:lang w:val="tr-TR"/>
        </w:rPr>
      </w:pPr>
    </w:p>
    <w:p w:rsidR="008F5F09" w:rsidRPr="00793123" w:rsidRDefault="008F5F09">
      <w:pPr>
        <w:pStyle w:val="GvdeMetni"/>
        <w:rPr>
          <w:b/>
          <w:noProof/>
          <w:lang w:val="tr-TR"/>
        </w:rPr>
      </w:pPr>
    </w:p>
    <w:p w:rsidR="008F5F09" w:rsidRPr="00793123" w:rsidRDefault="008F5F09">
      <w:pPr>
        <w:pStyle w:val="GvdeMetni"/>
        <w:rPr>
          <w:b/>
          <w:noProof/>
          <w:lang w:val="tr-TR"/>
        </w:rPr>
      </w:pPr>
    </w:p>
    <w:p w:rsidR="008F5F09" w:rsidRPr="00793123" w:rsidRDefault="008F5F09">
      <w:pPr>
        <w:pStyle w:val="GvdeMetni"/>
        <w:spacing w:before="7"/>
        <w:rPr>
          <w:b/>
          <w:noProof/>
          <w:sz w:val="26"/>
          <w:lang w:val="tr-TR"/>
        </w:rPr>
      </w:pPr>
    </w:p>
    <w:p w:rsidR="008F5F09" w:rsidRPr="00793123" w:rsidRDefault="00917EF6">
      <w:pPr>
        <w:spacing w:before="44"/>
        <w:ind w:left="111"/>
        <w:rPr>
          <w:b/>
          <w:noProof/>
          <w:sz w:val="32"/>
          <w:lang w:val="tr-TR"/>
        </w:rPr>
      </w:pPr>
      <w:r w:rsidRPr="00793123">
        <w:rPr>
          <w:b/>
          <w:noProof/>
          <w:color w:val="003E6C"/>
          <w:w w:val="85"/>
          <w:sz w:val="32"/>
          <w:lang w:val="tr-TR"/>
        </w:rPr>
        <w:t xml:space="preserve">İçindekiler </w:t>
      </w:r>
    </w:p>
    <w:sdt>
      <w:sdtPr>
        <w:rPr>
          <w:noProof/>
          <w:lang w:val="tr-TR"/>
        </w:rPr>
        <w:id w:val="1697275529"/>
        <w:docPartObj>
          <w:docPartGallery w:val="Table of Contents"/>
          <w:docPartUnique/>
        </w:docPartObj>
      </w:sdtPr>
      <w:sdtEndPr/>
      <w:sdtContent>
        <w:p w:rsidR="008F5F09" w:rsidRPr="00793123" w:rsidRDefault="00B06ACC">
          <w:pPr>
            <w:pStyle w:val="T1"/>
            <w:numPr>
              <w:ilvl w:val="0"/>
              <w:numId w:val="2"/>
            </w:numPr>
            <w:tabs>
              <w:tab w:val="left" w:pos="735"/>
              <w:tab w:val="left" w:pos="736"/>
              <w:tab w:val="right" w:pos="9173"/>
            </w:tabs>
            <w:spacing w:before="358"/>
            <w:ind w:hanging="625"/>
            <w:rPr>
              <w:noProof/>
              <w:lang w:val="tr-TR"/>
            </w:rPr>
          </w:pPr>
          <w:hyperlink w:anchor="_bookmark0" w:history="1">
            <w:r w:rsidR="00917EF6" w:rsidRPr="00793123">
              <w:rPr>
                <w:noProof/>
                <w:lang w:val="tr-TR"/>
              </w:rPr>
              <w:t>Genel Bilgiler</w:t>
            </w:r>
            <w:r w:rsidR="00A52476" w:rsidRPr="00793123">
              <w:rPr>
                <w:noProof/>
                <w:lang w:val="tr-TR"/>
              </w:rPr>
              <w:tab/>
              <w:t>3</w:t>
            </w:r>
          </w:hyperlink>
        </w:p>
        <w:p w:rsidR="008F5F09" w:rsidRPr="00793123" w:rsidRDefault="00B06ACC">
          <w:pPr>
            <w:pStyle w:val="T1"/>
            <w:numPr>
              <w:ilvl w:val="0"/>
              <w:numId w:val="2"/>
            </w:numPr>
            <w:tabs>
              <w:tab w:val="left" w:pos="735"/>
              <w:tab w:val="left" w:pos="736"/>
              <w:tab w:val="right" w:pos="9173"/>
            </w:tabs>
            <w:spacing w:before="329"/>
            <w:ind w:hanging="625"/>
            <w:rPr>
              <w:noProof/>
              <w:lang w:val="tr-TR"/>
            </w:rPr>
          </w:pPr>
          <w:hyperlink w:anchor="_bookmark1" w:history="1">
            <w:r w:rsidR="00A52476" w:rsidRPr="00793123">
              <w:rPr>
                <w:noProof/>
                <w:lang w:val="tr-TR"/>
              </w:rPr>
              <w:t>Linde</w:t>
            </w:r>
            <w:r w:rsidR="00A52476" w:rsidRPr="00793123">
              <w:rPr>
                <w:noProof/>
                <w:spacing w:val="-20"/>
                <w:lang w:val="tr-TR"/>
              </w:rPr>
              <w:t xml:space="preserve"> </w:t>
            </w:r>
            <w:r w:rsidR="00917EF6" w:rsidRPr="00793123">
              <w:rPr>
                <w:noProof/>
                <w:lang w:val="tr-TR"/>
              </w:rPr>
              <w:t>Politikası</w:t>
            </w:r>
            <w:r w:rsidR="00A52476" w:rsidRPr="00793123">
              <w:rPr>
                <w:noProof/>
                <w:lang w:val="tr-TR"/>
              </w:rPr>
              <w:tab/>
              <w:t>3</w:t>
            </w:r>
          </w:hyperlink>
        </w:p>
        <w:p w:rsidR="008F5F09" w:rsidRPr="00793123" w:rsidRDefault="00B06ACC">
          <w:pPr>
            <w:pStyle w:val="T1"/>
            <w:numPr>
              <w:ilvl w:val="0"/>
              <w:numId w:val="2"/>
            </w:numPr>
            <w:tabs>
              <w:tab w:val="left" w:pos="735"/>
              <w:tab w:val="left" w:pos="736"/>
              <w:tab w:val="right" w:pos="9173"/>
            </w:tabs>
            <w:ind w:hanging="625"/>
            <w:rPr>
              <w:noProof/>
              <w:lang w:val="tr-TR"/>
            </w:rPr>
          </w:pPr>
          <w:hyperlink w:anchor="_bookmark2" w:history="1">
            <w:r w:rsidR="00917EF6" w:rsidRPr="00793123">
              <w:rPr>
                <w:noProof/>
                <w:lang w:val="tr-TR"/>
              </w:rPr>
              <w:t>Kıymetli Eşyalar</w:t>
            </w:r>
            <w:r w:rsidR="00A52476" w:rsidRPr="00793123">
              <w:rPr>
                <w:noProof/>
                <w:lang w:val="tr-TR"/>
              </w:rPr>
              <w:tab/>
              <w:t>4</w:t>
            </w:r>
          </w:hyperlink>
        </w:p>
        <w:p w:rsidR="008F5F09" w:rsidRPr="00793123" w:rsidRDefault="00B06ACC">
          <w:pPr>
            <w:pStyle w:val="T1"/>
            <w:numPr>
              <w:ilvl w:val="0"/>
              <w:numId w:val="2"/>
            </w:numPr>
            <w:tabs>
              <w:tab w:val="left" w:pos="735"/>
              <w:tab w:val="left" w:pos="736"/>
              <w:tab w:val="right" w:pos="9173"/>
            </w:tabs>
            <w:spacing w:before="328"/>
            <w:ind w:hanging="625"/>
            <w:rPr>
              <w:noProof/>
              <w:lang w:val="tr-TR"/>
            </w:rPr>
          </w:pPr>
          <w:hyperlink w:anchor="_bookmark3" w:history="1">
            <w:r w:rsidR="00917EF6" w:rsidRPr="00793123">
              <w:rPr>
                <w:noProof/>
                <w:lang w:val="tr-TR"/>
              </w:rPr>
              <w:t xml:space="preserve">Hediyeler ve Ağırlama </w:t>
            </w:r>
            <w:r w:rsidR="00A52476" w:rsidRPr="00793123">
              <w:rPr>
                <w:noProof/>
                <w:lang w:val="tr-TR"/>
              </w:rPr>
              <w:tab/>
              <w:t>4</w:t>
            </w:r>
          </w:hyperlink>
        </w:p>
        <w:p w:rsidR="008F5F09" w:rsidRPr="00793123" w:rsidRDefault="00B06ACC">
          <w:pPr>
            <w:pStyle w:val="T1"/>
            <w:numPr>
              <w:ilvl w:val="0"/>
              <w:numId w:val="2"/>
            </w:numPr>
            <w:tabs>
              <w:tab w:val="left" w:pos="735"/>
              <w:tab w:val="left" w:pos="736"/>
              <w:tab w:val="right" w:pos="9173"/>
            </w:tabs>
            <w:spacing w:before="329"/>
            <w:ind w:hanging="625"/>
            <w:rPr>
              <w:noProof/>
              <w:lang w:val="tr-TR"/>
            </w:rPr>
          </w:pPr>
          <w:hyperlink w:anchor="_bookmark4" w:history="1">
            <w:r w:rsidR="00917EF6" w:rsidRPr="00793123">
              <w:rPr>
                <w:noProof/>
                <w:lang w:val="tr-TR"/>
              </w:rPr>
              <w:t xml:space="preserve">Kayıt Tutma ve Muhasebe İç Kontrolleri </w:t>
            </w:r>
            <w:r w:rsidR="00A52476" w:rsidRPr="00793123">
              <w:rPr>
                <w:noProof/>
                <w:lang w:val="tr-TR"/>
              </w:rPr>
              <w:tab/>
              <w:t>5</w:t>
            </w:r>
          </w:hyperlink>
        </w:p>
        <w:p w:rsidR="008F5F09" w:rsidRPr="00793123" w:rsidRDefault="00917EF6">
          <w:pPr>
            <w:pStyle w:val="T1"/>
            <w:numPr>
              <w:ilvl w:val="0"/>
              <w:numId w:val="2"/>
            </w:numPr>
            <w:tabs>
              <w:tab w:val="left" w:pos="735"/>
              <w:tab w:val="left" w:pos="736"/>
              <w:tab w:val="right" w:pos="9173"/>
            </w:tabs>
            <w:ind w:hanging="625"/>
            <w:rPr>
              <w:noProof/>
              <w:lang w:val="tr-TR"/>
            </w:rPr>
          </w:pPr>
          <w:r w:rsidRPr="00793123">
            <w:rPr>
              <w:noProof/>
              <w:lang w:val="tr-TR"/>
            </w:rPr>
            <w:t>Belirli Hizmet Sağlayıcılarla Çalışılması</w:t>
          </w:r>
          <w:hyperlink w:anchor="_bookmark5" w:history="1">
            <w:r w:rsidR="00A52476" w:rsidRPr="00793123">
              <w:rPr>
                <w:noProof/>
                <w:lang w:val="tr-TR"/>
              </w:rPr>
              <w:tab/>
              <w:t>5</w:t>
            </w:r>
          </w:hyperlink>
        </w:p>
        <w:p w:rsidR="008F5F09" w:rsidRPr="00793123" w:rsidRDefault="00B06ACC">
          <w:pPr>
            <w:pStyle w:val="T1"/>
            <w:numPr>
              <w:ilvl w:val="0"/>
              <w:numId w:val="2"/>
            </w:numPr>
            <w:tabs>
              <w:tab w:val="left" w:pos="735"/>
              <w:tab w:val="left" w:pos="736"/>
              <w:tab w:val="right" w:pos="9173"/>
            </w:tabs>
            <w:ind w:hanging="625"/>
            <w:rPr>
              <w:noProof/>
              <w:lang w:val="tr-TR"/>
            </w:rPr>
          </w:pPr>
          <w:hyperlink w:anchor="_bookmark6" w:history="1">
            <w:r w:rsidR="00917EF6" w:rsidRPr="00793123">
              <w:rPr>
                <w:noProof/>
                <w:lang w:val="tr-TR"/>
              </w:rPr>
              <w:t>Eğitim</w:t>
            </w:r>
            <w:r w:rsidR="00A52476" w:rsidRPr="00793123">
              <w:rPr>
                <w:noProof/>
                <w:lang w:val="tr-TR"/>
              </w:rPr>
              <w:tab/>
              <w:t>6</w:t>
            </w:r>
          </w:hyperlink>
        </w:p>
        <w:p w:rsidR="008F5F09" w:rsidRPr="00793123" w:rsidRDefault="00B06ACC">
          <w:pPr>
            <w:pStyle w:val="T1"/>
            <w:numPr>
              <w:ilvl w:val="0"/>
              <w:numId w:val="2"/>
            </w:numPr>
            <w:tabs>
              <w:tab w:val="left" w:pos="735"/>
              <w:tab w:val="left" w:pos="736"/>
              <w:tab w:val="right" w:pos="9173"/>
            </w:tabs>
            <w:spacing w:before="330"/>
            <w:ind w:hanging="625"/>
            <w:rPr>
              <w:noProof/>
              <w:lang w:val="tr-TR"/>
            </w:rPr>
          </w:pPr>
          <w:hyperlink w:anchor="_bookmark7" w:history="1">
            <w:r w:rsidR="00917EF6" w:rsidRPr="00793123">
              <w:rPr>
                <w:noProof/>
                <w:lang w:val="tr-TR"/>
              </w:rPr>
              <w:t>Denetimler</w:t>
            </w:r>
            <w:r w:rsidR="00A52476" w:rsidRPr="00793123">
              <w:rPr>
                <w:noProof/>
                <w:lang w:val="tr-TR"/>
              </w:rPr>
              <w:tab/>
              <w:t>6</w:t>
            </w:r>
          </w:hyperlink>
        </w:p>
        <w:p w:rsidR="008F5F09" w:rsidRPr="00793123" w:rsidRDefault="00B06ACC">
          <w:pPr>
            <w:pStyle w:val="T1"/>
            <w:numPr>
              <w:ilvl w:val="0"/>
              <w:numId w:val="2"/>
            </w:numPr>
            <w:tabs>
              <w:tab w:val="left" w:pos="735"/>
              <w:tab w:val="left" w:pos="736"/>
              <w:tab w:val="right" w:pos="9173"/>
            </w:tabs>
            <w:ind w:hanging="625"/>
            <w:rPr>
              <w:noProof/>
              <w:lang w:val="tr-TR"/>
            </w:rPr>
          </w:pPr>
          <w:hyperlink w:anchor="_bookmark8" w:history="1">
            <w:r w:rsidR="00917EF6" w:rsidRPr="00793123">
              <w:rPr>
                <w:noProof/>
                <w:lang w:val="tr-TR"/>
              </w:rPr>
              <w:t>Yürürlük Tarihi</w:t>
            </w:r>
            <w:r w:rsidR="00A52476" w:rsidRPr="00793123">
              <w:rPr>
                <w:noProof/>
                <w:lang w:val="tr-TR"/>
              </w:rPr>
              <w:tab/>
              <w:t>6</w:t>
            </w:r>
          </w:hyperlink>
        </w:p>
        <w:p w:rsidR="008F5F09" w:rsidRPr="00793123" w:rsidRDefault="00B06ACC">
          <w:pPr>
            <w:pStyle w:val="T1"/>
            <w:tabs>
              <w:tab w:val="right" w:pos="9173"/>
            </w:tabs>
            <w:ind w:left="111" w:firstLine="0"/>
            <w:rPr>
              <w:noProof/>
              <w:lang w:val="tr-TR"/>
            </w:rPr>
          </w:pPr>
          <w:hyperlink w:anchor="_bookmark9" w:history="1">
            <w:r w:rsidR="00917EF6" w:rsidRPr="00793123">
              <w:rPr>
                <w:noProof/>
                <w:lang w:val="tr-TR"/>
              </w:rPr>
              <w:t>Ek</w:t>
            </w:r>
            <w:r w:rsidR="00A52476" w:rsidRPr="00793123">
              <w:rPr>
                <w:noProof/>
                <w:lang w:val="tr-TR"/>
              </w:rPr>
              <w:t>:</w:t>
            </w:r>
            <w:r w:rsidR="00A52476" w:rsidRPr="00793123">
              <w:rPr>
                <w:noProof/>
                <w:spacing w:val="-23"/>
                <w:lang w:val="tr-TR"/>
              </w:rPr>
              <w:t xml:space="preserve"> </w:t>
            </w:r>
            <w:r w:rsidR="00A52476" w:rsidRPr="00793123">
              <w:rPr>
                <w:noProof/>
                <w:lang w:val="tr-TR"/>
              </w:rPr>
              <w:t>10</w:t>
            </w:r>
            <w:r w:rsidR="00A52476" w:rsidRPr="00793123">
              <w:rPr>
                <w:noProof/>
                <w:spacing w:val="-23"/>
                <w:lang w:val="tr-TR"/>
              </w:rPr>
              <w:t xml:space="preserve"> </w:t>
            </w:r>
            <w:r w:rsidR="00002712" w:rsidRPr="00793123">
              <w:rPr>
                <w:noProof/>
                <w:lang w:val="tr-TR"/>
              </w:rPr>
              <w:t>Temel</w:t>
            </w:r>
            <w:r w:rsidR="00917EF6" w:rsidRPr="00793123">
              <w:rPr>
                <w:noProof/>
                <w:lang w:val="tr-TR"/>
              </w:rPr>
              <w:t xml:space="preserve"> Prensip</w:t>
            </w:r>
            <w:r w:rsidR="00A52476" w:rsidRPr="00793123">
              <w:rPr>
                <w:noProof/>
                <w:lang w:val="tr-TR"/>
              </w:rPr>
              <w:tab/>
              <w:t>7</w:t>
            </w:r>
          </w:hyperlink>
        </w:p>
      </w:sdtContent>
    </w:sdt>
    <w:p w:rsidR="008F5F09" w:rsidRPr="00793123" w:rsidRDefault="008F5F09">
      <w:pPr>
        <w:rPr>
          <w:noProof/>
          <w:lang w:val="tr-TR"/>
        </w:rPr>
        <w:sectPr w:rsidR="008F5F09" w:rsidRPr="00793123">
          <w:pgSz w:w="11910" w:h="16840"/>
          <w:pgMar w:top="2080" w:right="1300" w:bottom="1400" w:left="1300" w:header="567" w:footer="1201" w:gutter="0"/>
          <w:cols w:space="708"/>
        </w:sectPr>
      </w:pPr>
    </w:p>
    <w:p w:rsidR="008F5F09" w:rsidRPr="00793123" w:rsidRDefault="008F5F09">
      <w:pPr>
        <w:pStyle w:val="GvdeMetni"/>
        <w:rPr>
          <w:b/>
          <w:noProof/>
          <w:sz w:val="28"/>
          <w:lang w:val="tr-TR"/>
        </w:rPr>
      </w:pPr>
    </w:p>
    <w:p w:rsidR="008F5F09" w:rsidRPr="00793123" w:rsidRDefault="008F5F09">
      <w:pPr>
        <w:pStyle w:val="GvdeMetni"/>
        <w:rPr>
          <w:b/>
          <w:noProof/>
          <w:sz w:val="28"/>
          <w:lang w:val="tr-TR"/>
        </w:rPr>
      </w:pPr>
    </w:p>
    <w:p w:rsidR="008F5F09" w:rsidRPr="00793123" w:rsidRDefault="008F5F09">
      <w:pPr>
        <w:pStyle w:val="GvdeMetni"/>
        <w:spacing w:before="4"/>
        <w:rPr>
          <w:b/>
          <w:noProof/>
          <w:sz w:val="34"/>
          <w:lang w:val="tr-TR"/>
        </w:rPr>
      </w:pPr>
    </w:p>
    <w:p w:rsidR="008F5F09" w:rsidRPr="00793123" w:rsidRDefault="00917EF6">
      <w:pPr>
        <w:pStyle w:val="Balk1"/>
        <w:numPr>
          <w:ilvl w:val="1"/>
          <w:numId w:val="2"/>
        </w:numPr>
        <w:tabs>
          <w:tab w:val="left" w:pos="1011"/>
          <w:tab w:val="left" w:pos="1012"/>
        </w:tabs>
        <w:ind w:hanging="541"/>
        <w:rPr>
          <w:noProof/>
          <w:lang w:val="tr-TR"/>
        </w:rPr>
      </w:pPr>
      <w:bookmarkStart w:id="1" w:name="_bookmark0"/>
      <w:bookmarkEnd w:id="1"/>
      <w:r w:rsidRPr="00793123">
        <w:rPr>
          <w:noProof/>
          <w:color w:val="003E6C"/>
          <w:lang w:val="tr-TR"/>
        </w:rPr>
        <w:t xml:space="preserve">Genel Bilgiler </w:t>
      </w:r>
    </w:p>
    <w:p w:rsidR="008F5F09" w:rsidRPr="00793123" w:rsidRDefault="008F5F09">
      <w:pPr>
        <w:pStyle w:val="GvdeMetni"/>
        <w:rPr>
          <w:b/>
          <w:noProof/>
          <w:sz w:val="28"/>
          <w:lang w:val="tr-TR"/>
        </w:rPr>
      </w:pPr>
    </w:p>
    <w:p w:rsidR="008F5F09" w:rsidRPr="00793123" w:rsidRDefault="00917EF6" w:rsidP="00917EF6">
      <w:pPr>
        <w:pStyle w:val="GvdeMetni"/>
        <w:spacing w:before="1" w:line="290" w:lineRule="auto"/>
        <w:ind w:left="471" w:right="128"/>
        <w:jc w:val="both"/>
        <w:rPr>
          <w:noProof/>
          <w:lang w:val="tr-TR"/>
        </w:rPr>
      </w:pPr>
      <w:r w:rsidRPr="00793123">
        <w:rPr>
          <w:noProof/>
          <w:w w:val="90"/>
          <w:lang w:val="tr-TR"/>
        </w:rPr>
        <w:t>Linde'nin faaliyetlerini yürüttüğü her yerde ve her zaman</w:t>
      </w:r>
      <w:r w:rsidR="00737CC2" w:rsidRPr="00793123">
        <w:rPr>
          <w:noProof/>
          <w:w w:val="90"/>
          <w:lang w:val="tr-TR"/>
        </w:rPr>
        <w:t>da</w:t>
      </w:r>
      <w:r w:rsidRPr="00793123">
        <w:rPr>
          <w:noProof/>
          <w:w w:val="90"/>
          <w:lang w:val="tr-TR"/>
        </w:rPr>
        <w:t xml:space="preserve"> geçerli rüşvet</w:t>
      </w:r>
      <w:r w:rsidR="00737CC2" w:rsidRPr="00793123">
        <w:rPr>
          <w:noProof/>
          <w:w w:val="90"/>
          <w:lang w:val="tr-TR"/>
        </w:rPr>
        <w:t xml:space="preserve">i önleme ve yolsuzluğu önleme </w:t>
      </w:r>
      <w:r w:rsidRPr="00793123">
        <w:rPr>
          <w:noProof/>
          <w:w w:val="90"/>
          <w:lang w:val="tr-TR"/>
        </w:rPr>
        <w:t xml:space="preserve">yasalarına tam </w:t>
      </w:r>
      <w:r w:rsidR="00737CC2" w:rsidRPr="00793123">
        <w:rPr>
          <w:noProof/>
          <w:w w:val="90"/>
          <w:lang w:val="tr-TR"/>
        </w:rPr>
        <w:t>uygunluğun</w:t>
      </w:r>
      <w:r w:rsidRPr="00793123">
        <w:rPr>
          <w:noProof/>
          <w:w w:val="90"/>
          <w:lang w:val="tr-TR"/>
        </w:rPr>
        <w:t xml:space="preserve"> sürdürülmesi, Linde </w:t>
      </w:r>
      <w:r w:rsidRPr="00793123">
        <w:rPr>
          <w:i/>
          <w:noProof/>
          <w:w w:val="90"/>
          <w:lang w:val="tr-TR"/>
        </w:rPr>
        <w:t xml:space="preserve">İş </w:t>
      </w:r>
      <w:r w:rsidR="00737CC2" w:rsidRPr="00793123">
        <w:rPr>
          <w:i/>
          <w:noProof/>
          <w:w w:val="90"/>
          <w:lang w:val="tr-TR"/>
        </w:rPr>
        <w:t xml:space="preserve">Ahlakı </w:t>
      </w:r>
      <w:r w:rsidRPr="00793123">
        <w:rPr>
          <w:i/>
          <w:noProof/>
          <w:w w:val="90"/>
          <w:lang w:val="tr-TR"/>
        </w:rPr>
        <w:t>Kurallarının</w:t>
      </w:r>
      <w:r w:rsidRPr="00793123">
        <w:rPr>
          <w:noProof/>
          <w:w w:val="90"/>
          <w:lang w:val="tr-TR"/>
        </w:rPr>
        <w:t xml:space="preserve"> önemli bir </w:t>
      </w:r>
      <w:r w:rsidR="00737CC2" w:rsidRPr="00793123">
        <w:rPr>
          <w:noProof/>
          <w:w w:val="90"/>
          <w:lang w:val="tr-TR"/>
        </w:rPr>
        <w:t xml:space="preserve">öğesidir. </w:t>
      </w:r>
      <w:r w:rsidR="00737CC2" w:rsidRPr="00793123">
        <w:rPr>
          <w:i/>
          <w:noProof/>
          <w:w w:val="90"/>
          <w:lang w:val="tr-TR"/>
        </w:rPr>
        <w:t xml:space="preserve">Rüşveti ve Yolsuzluğu Önlemeye İlişkin bu Küresel Uygunluk Politikasında </w:t>
      </w:r>
      <w:r w:rsidR="00A52476" w:rsidRPr="00793123">
        <w:rPr>
          <w:noProof/>
          <w:w w:val="90"/>
          <w:lang w:val="tr-TR"/>
        </w:rPr>
        <w:t>(</w:t>
      </w:r>
      <w:r w:rsidR="00737CC2" w:rsidRPr="00793123">
        <w:rPr>
          <w:noProof/>
          <w:w w:val="90"/>
          <w:lang w:val="tr-TR"/>
        </w:rPr>
        <w:t xml:space="preserve">kısaca </w:t>
      </w:r>
      <w:r w:rsidR="00A52476" w:rsidRPr="00793123">
        <w:rPr>
          <w:noProof/>
          <w:w w:val="90"/>
          <w:lang w:val="tr-TR"/>
        </w:rPr>
        <w:t>“</w:t>
      </w:r>
      <w:r w:rsidR="00A52476" w:rsidRPr="00793123">
        <w:rPr>
          <w:i/>
          <w:noProof/>
          <w:w w:val="90"/>
          <w:lang w:val="tr-TR"/>
        </w:rPr>
        <w:t>ABAC Po</w:t>
      </w:r>
      <w:r w:rsidR="00737CC2" w:rsidRPr="00793123">
        <w:rPr>
          <w:i/>
          <w:noProof/>
          <w:w w:val="90"/>
          <w:lang w:val="tr-TR"/>
        </w:rPr>
        <w:t>litikası</w:t>
      </w:r>
      <w:r w:rsidR="00A52476" w:rsidRPr="00793123">
        <w:rPr>
          <w:noProof/>
          <w:w w:val="90"/>
          <w:lang w:val="tr-TR"/>
        </w:rPr>
        <w:t xml:space="preserve">”) </w:t>
      </w:r>
      <w:r w:rsidR="00737CC2" w:rsidRPr="00793123">
        <w:rPr>
          <w:noProof/>
          <w:w w:val="90"/>
          <w:lang w:val="tr-TR"/>
        </w:rPr>
        <w:t xml:space="preserve">Linde'nin faaliyetlerini en yüksek ahlaki standartlara uygun olarak yürütme taahhüdü açıklanmış ve her türlü rüşvet ve yolsuzluğu yasaklanmıştır. Bu </w:t>
      </w:r>
      <w:r w:rsidR="00737CC2" w:rsidRPr="00793123">
        <w:rPr>
          <w:i/>
          <w:noProof/>
          <w:w w:val="90"/>
          <w:lang w:val="tr-TR"/>
        </w:rPr>
        <w:t>ABAC Politikası</w:t>
      </w:r>
      <w:r w:rsidR="00737CC2" w:rsidRPr="00793123">
        <w:rPr>
          <w:noProof/>
          <w:w w:val="90"/>
          <w:lang w:val="tr-TR"/>
        </w:rPr>
        <w:t xml:space="preserve">, Linde adına iş elde etmek veya işi elde tutmak ya da uygunsuz iş </w:t>
      </w:r>
      <w:r w:rsidR="004E3265" w:rsidRPr="00793123">
        <w:rPr>
          <w:noProof/>
          <w:w w:val="90"/>
          <w:lang w:val="tr-TR"/>
        </w:rPr>
        <w:t>avantajlarını</w:t>
      </w:r>
      <w:r w:rsidR="00737CC2" w:rsidRPr="00793123">
        <w:rPr>
          <w:noProof/>
          <w:w w:val="90"/>
          <w:lang w:val="tr-TR"/>
        </w:rPr>
        <w:t xml:space="preserve"> güvence altına almak </w:t>
      </w:r>
      <w:r w:rsidR="004E3265" w:rsidRPr="00793123">
        <w:rPr>
          <w:noProof/>
          <w:w w:val="90"/>
          <w:lang w:val="tr-TR"/>
        </w:rPr>
        <w:t xml:space="preserve">amacıyla, </w:t>
      </w:r>
      <w:r w:rsidR="00737CC2" w:rsidRPr="00793123">
        <w:rPr>
          <w:noProof/>
          <w:w w:val="90"/>
          <w:lang w:val="tr-TR"/>
        </w:rPr>
        <w:t>hem aşağıda tanımlanan Devlet Memurlarına hem de özel sektördeki kişilere rüşvet verilmesini (ticari rüşvet) yasaklar</w:t>
      </w:r>
      <w:r w:rsidR="004E3265" w:rsidRPr="00793123">
        <w:rPr>
          <w:noProof/>
          <w:w w:val="90"/>
          <w:lang w:val="tr-TR"/>
        </w:rPr>
        <w:t xml:space="preserve">. Buna herhangi bir Devlet Memuruna, müşteriye, iş ortağına, hizmet sağlayıcıya veya Linde adına hareket eden başka bir üçüncü tarafa değerli herhangi bir şeyin teklif edilmesi, vaat edilmesi, buna izin verilmesi veya temin edilmesi dâhildir.  </w:t>
      </w:r>
    </w:p>
    <w:p w:rsidR="008F5F09" w:rsidRPr="00793123" w:rsidRDefault="008F5F09">
      <w:pPr>
        <w:pStyle w:val="GvdeMetni"/>
        <w:spacing w:before="5"/>
        <w:rPr>
          <w:noProof/>
          <w:sz w:val="23"/>
          <w:lang w:val="tr-TR"/>
        </w:rPr>
      </w:pPr>
    </w:p>
    <w:p w:rsidR="008F5F09" w:rsidRPr="00793123" w:rsidRDefault="004E3265" w:rsidP="004E3265">
      <w:pPr>
        <w:pStyle w:val="GvdeMetni"/>
        <w:spacing w:line="288" w:lineRule="auto"/>
        <w:ind w:left="471" w:right="128"/>
        <w:jc w:val="both"/>
        <w:rPr>
          <w:noProof/>
          <w:lang w:val="tr-TR"/>
        </w:rPr>
      </w:pPr>
      <w:r w:rsidRPr="00793123">
        <w:rPr>
          <w:noProof/>
          <w:w w:val="90"/>
          <w:lang w:val="tr-TR"/>
        </w:rPr>
        <w:t>“Devlet” ve “Devlet Memuru” ifadeleri, devletin mülkiyeti veya kontrolü altındaki şirketler de dahil olmak üzere, bir devlet dairesi veya kurumunun resmi düzeyinde seçilmiş ve atanmış devlet çalışanlarını ifade eder</w:t>
      </w:r>
      <w:r w:rsidR="00A52476" w:rsidRPr="00793123">
        <w:rPr>
          <w:noProof/>
          <w:lang w:val="tr-TR"/>
        </w:rPr>
        <w:t>.</w:t>
      </w:r>
    </w:p>
    <w:p w:rsidR="008F5F09" w:rsidRPr="00793123" w:rsidRDefault="008F5F09">
      <w:pPr>
        <w:pStyle w:val="GvdeMetni"/>
        <w:spacing w:before="6"/>
        <w:rPr>
          <w:noProof/>
          <w:sz w:val="24"/>
          <w:lang w:val="tr-TR"/>
        </w:rPr>
      </w:pPr>
    </w:p>
    <w:p w:rsidR="008F5F09" w:rsidRPr="00793123" w:rsidRDefault="004E3265" w:rsidP="004E3265">
      <w:pPr>
        <w:pStyle w:val="GvdeMetni"/>
        <w:ind w:left="471"/>
        <w:rPr>
          <w:noProof/>
          <w:lang w:val="tr-TR"/>
        </w:rPr>
      </w:pPr>
      <w:r w:rsidRPr="00793123">
        <w:rPr>
          <w:noProof/>
          <w:w w:val="90"/>
          <w:lang w:val="tr-TR"/>
        </w:rPr>
        <w:t>“Resmi düzeydeki” devlet çalışanları, bir kişinin bir Devletle olan iş ilişkilerini etkileyebilecek konumda olan kişilerdir.</w:t>
      </w:r>
    </w:p>
    <w:p w:rsidR="008F5F09" w:rsidRPr="00793123" w:rsidRDefault="008F5F09">
      <w:pPr>
        <w:pStyle w:val="GvdeMetni"/>
        <w:spacing w:before="4"/>
        <w:rPr>
          <w:noProof/>
          <w:sz w:val="28"/>
          <w:lang w:val="tr-TR"/>
        </w:rPr>
      </w:pPr>
    </w:p>
    <w:p w:rsidR="008F5F09" w:rsidRPr="00793123" w:rsidRDefault="004E3265" w:rsidP="004E3265">
      <w:pPr>
        <w:pStyle w:val="GvdeMetni"/>
        <w:spacing w:before="1" w:line="288" w:lineRule="auto"/>
        <w:ind w:left="471" w:right="-46"/>
        <w:jc w:val="both"/>
        <w:rPr>
          <w:noProof/>
          <w:lang w:val="tr-TR"/>
        </w:rPr>
      </w:pPr>
      <w:r w:rsidRPr="00793123">
        <w:rPr>
          <w:noProof/>
          <w:w w:val="90"/>
          <w:lang w:val="tr-TR"/>
        </w:rPr>
        <w:t>"Devlet" ve "Devlet Memuru" ifadeleri, yerel yasa ve uygulamalara göre farklı anlamlara/tanımlara sahip olabilir. Ülkenizde uygulanan tanımla ilgili herhangi bir sorunuz varsa lütfen uyum görevlinizle veya hukuk danışmanınızla iletişime geçiniz.</w:t>
      </w:r>
    </w:p>
    <w:p w:rsidR="008F5F09" w:rsidRPr="00793123" w:rsidRDefault="008F5F09">
      <w:pPr>
        <w:pStyle w:val="GvdeMetni"/>
        <w:spacing w:before="4"/>
        <w:rPr>
          <w:noProof/>
          <w:sz w:val="24"/>
          <w:lang w:val="tr-TR"/>
        </w:rPr>
      </w:pPr>
    </w:p>
    <w:p w:rsidR="008F5F09" w:rsidRPr="00793123" w:rsidRDefault="004E3265" w:rsidP="004E3265">
      <w:pPr>
        <w:pStyle w:val="GvdeMetni"/>
        <w:spacing w:line="290" w:lineRule="auto"/>
        <w:ind w:left="471" w:right="98"/>
        <w:jc w:val="both"/>
        <w:rPr>
          <w:noProof/>
          <w:lang w:val="tr-TR"/>
        </w:rPr>
      </w:pPr>
      <w:r w:rsidRPr="00793123">
        <w:rPr>
          <w:noProof/>
          <w:w w:val="90"/>
          <w:lang w:val="tr-TR"/>
        </w:rPr>
        <w:t xml:space="preserve">Bu </w:t>
      </w:r>
      <w:r w:rsidRPr="00793123">
        <w:rPr>
          <w:i/>
          <w:noProof/>
          <w:w w:val="90"/>
          <w:lang w:val="tr-TR"/>
        </w:rPr>
        <w:t>ABAC Politikası</w:t>
      </w:r>
      <w:r w:rsidRPr="00793123">
        <w:rPr>
          <w:noProof/>
          <w:w w:val="90"/>
          <w:lang w:val="tr-TR"/>
        </w:rPr>
        <w:t xml:space="preserve">, rüşveti ve yolsuzluğu önleme yasaları ve bunlara uymak için gereken işlemler hakkında temel bir anlayış sunmaktadır. Bununla birlikte belirli bir davranışın bu ABAC Politikasının veya İş </w:t>
      </w:r>
      <w:r w:rsidR="005B6D8A" w:rsidRPr="00793123">
        <w:rPr>
          <w:noProof/>
          <w:w w:val="90"/>
          <w:lang w:val="tr-TR"/>
        </w:rPr>
        <w:t>Ahlakı</w:t>
      </w:r>
      <w:r w:rsidRPr="00793123">
        <w:rPr>
          <w:noProof/>
          <w:w w:val="90"/>
          <w:lang w:val="tr-TR"/>
        </w:rPr>
        <w:t xml:space="preserve"> Kurallarımızın standartlarına uyup uymadığı konusunda endişeleriniz varsa</w:t>
      </w:r>
      <w:r w:rsidR="005B6D8A" w:rsidRPr="00793123">
        <w:rPr>
          <w:noProof/>
          <w:w w:val="90"/>
          <w:lang w:val="tr-TR"/>
        </w:rPr>
        <w:t>,</w:t>
      </w:r>
      <w:r w:rsidRPr="00793123">
        <w:rPr>
          <w:noProof/>
          <w:w w:val="90"/>
          <w:lang w:val="tr-TR"/>
        </w:rPr>
        <w:t xml:space="preserve"> işletmenizin veya bölgenizin uyum görevlisine veya atanmış hukuk müşavirine danışmalısınız.</w:t>
      </w:r>
    </w:p>
    <w:p w:rsidR="008F5F09" w:rsidRPr="00793123" w:rsidRDefault="008F5F09">
      <w:pPr>
        <w:pStyle w:val="GvdeMetni"/>
        <w:spacing w:before="10"/>
        <w:rPr>
          <w:noProof/>
          <w:sz w:val="23"/>
          <w:lang w:val="tr-TR"/>
        </w:rPr>
      </w:pPr>
    </w:p>
    <w:p w:rsidR="008F5F09" w:rsidRPr="00793123" w:rsidRDefault="0065732F" w:rsidP="0065732F">
      <w:pPr>
        <w:pStyle w:val="GvdeMetni"/>
        <w:spacing w:line="288" w:lineRule="auto"/>
        <w:ind w:left="471"/>
        <w:jc w:val="both"/>
        <w:rPr>
          <w:noProof/>
          <w:lang w:val="tr-TR"/>
        </w:rPr>
      </w:pPr>
      <w:r w:rsidRPr="00793123">
        <w:rPr>
          <w:noProof/>
          <w:w w:val="90"/>
          <w:lang w:val="tr-TR"/>
        </w:rPr>
        <w:t xml:space="preserve">Rüşveti ve yolsuzluğu önleme yasalarına uygun hareket edilmemesi, ağır hukuki ve cezai yaptırımlara neden olabilir, potansiyel olarak Linde'nin müşterileri, hissedarları ve kamu nezdindeki itibarına geniş ölçüde zarar verebilir. Çalışanlar, yöneticiler ve yetkilerden oluşan Linde Personelinin bu yasaları ihlal etmesi halinde, hapis cezası da dâhil olmak üzere ciddi hukuki ve cezai yaptırımlarla karşı karşıya kalabilirler. Buna göre bu ABAC Politikasına uymayan Linde Personeli, iş akdinin feshine kadar varabilecek disiplin cezalarına maruz kalabilirler. </w:t>
      </w:r>
    </w:p>
    <w:p w:rsidR="008F5F09" w:rsidRPr="00793123" w:rsidRDefault="008F5F09">
      <w:pPr>
        <w:pStyle w:val="GvdeMetni"/>
        <w:rPr>
          <w:noProof/>
          <w:sz w:val="22"/>
          <w:lang w:val="tr-TR"/>
        </w:rPr>
      </w:pPr>
    </w:p>
    <w:p w:rsidR="008F5F09" w:rsidRPr="00793123" w:rsidRDefault="00A52476">
      <w:pPr>
        <w:pStyle w:val="Balk1"/>
        <w:numPr>
          <w:ilvl w:val="1"/>
          <w:numId w:val="2"/>
        </w:numPr>
        <w:tabs>
          <w:tab w:val="left" w:pos="1012"/>
        </w:tabs>
        <w:ind w:hanging="541"/>
        <w:jc w:val="both"/>
        <w:rPr>
          <w:noProof/>
          <w:lang w:val="tr-TR"/>
        </w:rPr>
      </w:pPr>
      <w:bookmarkStart w:id="2" w:name="_bookmark1"/>
      <w:bookmarkEnd w:id="2"/>
      <w:r w:rsidRPr="00793123">
        <w:rPr>
          <w:noProof/>
          <w:color w:val="003E6C"/>
          <w:spacing w:val="-1"/>
          <w:w w:val="90"/>
          <w:lang w:val="tr-TR"/>
        </w:rPr>
        <w:t>Linde</w:t>
      </w:r>
      <w:r w:rsidRPr="00793123">
        <w:rPr>
          <w:noProof/>
          <w:color w:val="003E6C"/>
          <w:spacing w:val="-17"/>
          <w:w w:val="90"/>
          <w:lang w:val="tr-TR"/>
        </w:rPr>
        <w:t xml:space="preserve"> </w:t>
      </w:r>
      <w:r w:rsidR="0065732F" w:rsidRPr="00793123">
        <w:rPr>
          <w:noProof/>
          <w:color w:val="003E6C"/>
          <w:w w:val="90"/>
          <w:lang w:val="tr-TR"/>
        </w:rPr>
        <w:t xml:space="preserve">Politikası </w:t>
      </w:r>
    </w:p>
    <w:p w:rsidR="008F5F09" w:rsidRPr="00793123" w:rsidRDefault="008F5F09">
      <w:pPr>
        <w:pStyle w:val="GvdeMetni"/>
        <w:spacing w:before="1"/>
        <w:rPr>
          <w:b/>
          <w:noProof/>
          <w:sz w:val="28"/>
          <w:lang w:val="tr-TR"/>
        </w:rPr>
      </w:pPr>
    </w:p>
    <w:p w:rsidR="008F5F09" w:rsidRPr="00793123" w:rsidRDefault="0065732F" w:rsidP="0065732F">
      <w:pPr>
        <w:pStyle w:val="GvdeMetni"/>
        <w:spacing w:line="290" w:lineRule="auto"/>
        <w:ind w:left="471" w:right="96"/>
        <w:jc w:val="both"/>
        <w:rPr>
          <w:noProof/>
          <w:lang w:val="tr-TR"/>
        </w:rPr>
      </w:pPr>
      <w:r w:rsidRPr="00793123">
        <w:rPr>
          <w:noProof/>
          <w:w w:val="90"/>
          <w:lang w:val="tr-TR"/>
        </w:rPr>
        <w:t>Linde Personeli ve Linde adına hareket eden diğer kişiler, yürürlükteki rüşvet</w:t>
      </w:r>
      <w:r w:rsidR="002312C5" w:rsidRPr="00793123">
        <w:rPr>
          <w:noProof/>
          <w:w w:val="90"/>
          <w:lang w:val="tr-TR"/>
        </w:rPr>
        <w:t xml:space="preserve">i ve yolsuzluğu önleme yasalarına uymakla yükümlü olup, bu yasalara şunlar dâhildir: ABD Yurtdışı Yolsuzluk Faaliyetleri Yasası </w:t>
      </w:r>
      <w:r w:rsidR="00A52476" w:rsidRPr="00793123">
        <w:rPr>
          <w:noProof/>
          <w:w w:val="90"/>
          <w:lang w:val="tr-TR"/>
        </w:rPr>
        <w:t>(“FCPA”),</w:t>
      </w:r>
      <w:r w:rsidR="00A52476" w:rsidRPr="00793123">
        <w:rPr>
          <w:noProof/>
          <w:spacing w:val="-13"/>
          <w:w w:val="90"/>
          <w:lang w:val="tr-TR"/>
        </w:rPr>
        <w:t xml:space="preserve"> </w:t>
      </w:r>
      <w:r w:rsidR="002312C5" w:rsidRPr="00793123">
        <w:rPr>
          <w:noProof/>
          <w:w w:val="90"/>
          <w:lang w:val="tr-TR"/>
        </w:rPr>
        <w:t>İngiltere Rüşvet Yasası</w:t>
      </w:r>
      <w:r w:rsidR="00A52476" w:rsidRPr="00793123">
        <w:rPr>
          <w:noProof/>
          <w:spacing w:val="-13"/>
          <w:w w:val="90"/>
          <w:lang w:val="tr-TR"/>
        </w:rPr>
        <w:t xml:space="preserve"> </w:t>
      </w:r>
      <w:r w:rsidR="00A52476" w:rsidRPr="00793123">
        <w:rPr>
          <w:noProof/>
          <w:w w:val="90"/>
          <w:lang w:val="tr-TR"/>
        </w:rPr>
        <w:t>(“UKBA”),</w:t>
      </w:r>
      <w:r w:rsidR="00A52476" w:rsidRPr="00793123">
        <w:rPr>
          <w:noProof/>
          <w:spacing w:val="-51"/>
          <w:w w:val="90"/>
          <w:lang w:val="tr-TR"/>
        </w:rPr>
        <w:t xml:space="preserve"> </w:t>
      </w:r>
      <w:r w:rsidR="002312C5" w:rsidRPr="00793123">
        <w:rPr>
          <w:noProof/>
          <w:w w:val="90"/>
          <w:lang w:val="tr-TR"/>
        </w:rPr>
        <w:t>Almanya Ceza Kanununun rüşveti önleme hükümleri ve Linde’nin faaliyetlerini yürüttüğü her bir ülkedeki ilgili yerel kanunlar.</w:t>
      </w:r>
      <w:r w:rsidR="00A52476" w:rsidRPr="00793123">
        <w:rPr>
          <w:noProof/>
          <w:w w:val="90"/>
          <w:lang w:val="tr-TR"/>
        </w:rPr>
        <w:t xml:space="preserve"> </w:t>
      </w:r>
      <w:r w:rsidR="002312C5" w:rsidRPr="00793123">
        <w:rPr>
          <w:noProof/>
          <w:w w:val="90"/>
          <w:lang w:val="tr-TR"/>
        </w:rPr>
        <w:t xml:space="preserve">Bu yasalar Devlet Memurlarına ve özel sektördeki kişilere rüşvet verilmesini (ticari rüşvet) yasaklar. Rüşvetin yasaklanmasına ek olarak FCPA ve bu ABAC Politikası, Linde'nin defterleri ve kayıtları doğru tutmasını, yeterli iç kontroller tesis etmesini ve bunları sürdürmesini gerektirir. </w:t>
      </w:r>
    </w:p>
    <w:p w:rsidR="008F5F09" w:rsidRPr="00793123" w:rsidRDefault="008F5F09">
      <w:pPr>
        <w:spacing w:line="290" w:lineRule="auto"/>
        <w:rPr>
          <w:noProof/>
          <w:lang w:val="tr-TR"/>
        </w:rPr>
        <w:sectPr w:rsidR="008F5F09" w:rsidRPr="00793123" w:rsidSect="0065732F">
          <w:pgSz w:w="11910" w:h="16840"/>
          <w:pgMar w:top="1702" w:right="1300" w:bottom="1400" w:left="1300" w:header="567" w:footer="1201" w:gutter="0"/>
          <w:cols w:space="708"/>
        </w:sect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spacing w:before="6"/>
        <w:rPr>
          <w:noProof/>
          <w:sz w:val="27"/>
          <w:lang w:val="tr-TR"/>
        </w:rPr>
      </w:pPr>
    </w:p>
    <w:p w:rsidR="008F5F09" w:rsidRPr="00793123" w:rsidRDefault="002312C5" w:rsidP="002312C5">
      <w:pPr>
        <w:pStyle w:val="GvdeMetni"/>
        <w:spacing w:before="65" w:line="288" w:lineRule="auto"/>
        <w:ind w:left="471" w:right="-46"/>
        <w:jc w:val="both"/>
        <w:rPr>
          <w:noProof/>
          <w:lang w:val="tr-TR"/>
        </w:rPr>
      </w:pPr>
      <w:r w:rsidRPr="00793123">
        <w:rPr>
          <w:noProof/>
          <w:w w:val="90"/>
          <w:lang w:val="tr-TR"/>
        </w:rPr>
        <w:t>Linde politikaları ile rüşveti ve yolsuzluğu önleme yasaları ve yönetmelikleri arasında herhangi bir çelişki olması durumunda, daha kısıtlayıcı standartlar geçerli olacaktır.</w:t>
      </w:r>
    </w:p>
    <w:p w:rsidR="008F5F09" w:rsidRPr="00793123" w:rsidRDefault="008F5F09">
      <w:pPr>
        <w:pStyle w:val="GvdeMetni"/>
        <w:spacing w:before="3"/>
        <w:rPr>
          <w:noProof/>
          <w:sz w:val="24"/>
          <w:lang w:val="tr-TR"/>
        </w:rPr>
      </w:pPr>
    </w:p>
    <w:p w:rsidR="008F5F09" w:rsidRPr="00793123" w:rsidRDefault="007B2E9B" w:rsidP="002312C5">
      <w:pPr>
        <w:pStyle w:val="GvdeMetni"/>
        <w:spacing w:before="1" w:line="290" w:lineRule="auto"/>
        <w:ind w:left="471"/>
        <w:jc w:val="both"/>
        <w:rPr>
          <w:noProof/>
          <w:lang w:val="tr-TR"/>
        </w:rPr>
      </w:pPr>
      <w:r w:rsidRPr="00793123">
        <w:rPr>
          <w:noProof/>
          <w:w w:val="90"/>
          <w:lang w:val="tr-TR"/>
        </w:rPr>
        <w:t xml:space="preserve">Uygunsuz bir şekilde iş almak veya bu işi elde tutmak, uygun olmayan herhangi başka bir avantaj elde etmek ya da bir Devlet Memurunun işlemlerini uygun olmayan şekilde etkilemek amacıyla, </w:t>
      </w:r>
      <w:r w:rsidR="002312C5" w:rsidRPr="00793123">
        <w:rPr>
          <w:noProof/>
          <w:w w:val="90"/>
          <w:lang w:val="tr-TR"/>
        </w:rPr>
        <w:t xml:space="preserve">Linde Personelinin ve Linde adına hareket eden diğer kişilerin, herhangi bir Devlet Memuruna değerli herhangi bir eşya vermesi, vaat etmesi, teklif etmesi, </w:t>
      </w:r>
      <w:r w:rsidR="00CA745D" w:rsidRPr="00793123">
        <w:rPr>
          <w:noProof/>
          <w:w w:val="90"/>
          <w:lang w:val="tr-TR"/>
        </w:rPr>
        <w:t xml:space="preserve">buna izin vermesi </w:t>
      </w:r>
      <w:r w:rsidR="002312C5" w:rsidRPr="00793123">
        <w:rPr>
          <w:noProof/>
          <w:w w:val="90"/>
          <w:lang w:val="tr-TR"/>
        </w:rPr>
        <w:t>veya ödeme yapması yasaktır</w:t>
      </w:r>
      <w:r w:rsidRPr="00793123">
        <w:rPr>
          <w:noProof/>
          <w:w w:val="90"/>
          <w:lang w:val="tr-TR"/>
        </w:rPr>
        <w:t xml:space="preserve"> (“değerli herhangi bir eşyanın) ne olduğu hakkında ilave bilgi almak için bu politikanın III. Bölümüne bakınız)</w:t>
      </w:r>
      <w:r w:rsidR="002312C5" w:rsidRPr="00793123">
        <w:rPr>
          <w:noProof/>
          <w:w w:val="90"/>
          <w:lang w:val="tr-TR"/>
        </w:rPr>
        <w:t>.</w:t>
      </w:r>
      <w:r w:rsidRPr="00793123">
        <w:rPr>
          <w:noProof/>
          <w:w w:val="90"/>
          <w:lang w:val="tr-TR"/>
        </w:rPr>
        <w:t xml:space="preserve"> </w:t>
      </w:r>
    </w:p>
    <w:p w:rsidR="008F5F09" w:rsidRPr="00793123" w:rsidRDefault="008F5F09">
      <w:pPr>
        <w:pStyle w:val="GvdeMetni"/>
        <w:spacing w:before="5"/>
        <w:rPr>
          <w:noProof/>
          <w:sz w:val="23"/>
          <w:lang w:val="tr-TR"/>
        </w:rPr>
      </w:pPr>
    </w:p>
    <w:p w:rsidR="008F5F09" w:rsidRPr="00793123" w:rsidRDefault="007B2E9B" w:rsidP="007B2E9B">
      <w:pPr>
        <w:pStyle w:val="GvdeMetni"/>
        <w:spacing w:line="290" w:lineRule="auto"/>
        <w:ind w:left="471" w:right="128"/>
        <w:jc w:val="both"/>
        <w:rPr>
          <w:noProof/>
          <w:lang w:val="tr-TR"/>
        </w:rPr>
      </w:pPr>
      <w:r w:rsidRPr="00793123">
        <w:rPr>
          <w:noProof/>
          <w:w w:val="90"/>
          <w:lang w:val="tr-TR"/>
        </w:rPr>
        <w:t>Linde, Devlet Memurlarına rüşvet verme yasağına ek olarak, özel kişi ve kuruluşlara uygun olmayan ödemeler yapılmasını, diğer avantajların teklif edilmesini veya sağlanmasını da yasaklar. Bu tür ödemeler ticari rüşvet teşkil edebilir</w:t>
      </w:r>
      <w:r w:rsidR="00A52476" w:rsidRPr="00793123">
        <w:rPr>
          <w:noProof/>
          <w:lang w:val="tr-TR"/>
        </w:rPr>
        <w:t>.</w:t>
      </w:r>
    </w:p>
    <w:p w:rsidR="008F5F09" w:rsidRPr="00793123" w:rsidRDefault="008F5F09">
      <w:pPr>
        <w:pStyle w:val="GvdeMetni"/>
        <w:spacing w:before="11"/>
        <w:rPr>
          <w:noProof/>
          <w:sz w:val="23"/>
          <w:lang w:val="tr-TR"/>
        </w:rPr>
      </w:pPr>
    </w:p>
    <w:p w:rsidR="008F5F09" w:rsidRPr="00793123" w:rsidRDefault="007B2E9B" w:rsidP="007B2E9B">
      <w:pPr>
        <w:pStyle w:val="GvdeMetni"/>
        <w:ind w:left="471"/>
        <w:jc w:val="both"/>
        <w:rPr>
          <w:noProof/>
          <w:lang w:val="tr-TR"/>
        </w:rPr>
      </w:pPr>
      <w:r w:rsidRPr="00793123">
        <w:rPr>
          <w:noProof/>
          <w:w w:val="90"/>
          <w:lang w:val="tr-TR"/>
        </w:rPr>
        <w:t>Linde'nin rüşvete ilişkin yasağı, miktarına veya amacına bakılmaksızın tüm uygun olmayan ödemeler için de geçerlidir.</w:t>
      </w:r>
    </w:p>
    <w:p w:rsidR="008F5F09" w:rsidRPr="00793123" w:rsidRDefault="008F5F09">
      <w:pPr>
        <w:pStyle w:val="GvdeMetni"/>
        <w:spacing w:before="7"/>
        <w:rPr>
          <w:noProof/>
          <w:sz w:val="25"/>
          <w:lang w:val="tr-TR"/>
        </w:rPr>
      </w:pPr>
    </w:p>
    <w:p w:rsidR="008F5F09" w:rsidRPr="00793123" w:rsidRDefault="007B2E9B">
      <w:pPr>
        <w:pStyle w:val="Balk1"/>
        <w:numPr>
          <w:ilvl w:val="1"/>
          <w:numId w:val="2"/>
        </w:numPr>
        <w:tabs>
          <w:tab w:val="left" w:pos="1011"/>
          <w:tab w:val="left" w:pos="1012"/>
        </w:tabs>
        <w:ind w:hanging="541"/>
        <w:rPr>
          <w:noProof/>
          <w:lang w:val="tr-TR"/>
        </w:rPr>
      </w:pPr>
      <w:bookmarkStart w:id="3" w:name="_bookmark2"/>
      <w:bookmarkEnd w:id="3"/>
      <w:r w:rsidRPr="00793123">
        <w:rPr>
          <w:noProof/>
          <w:color w:val="003E6C"/>
          <w:w w:val="90"/>
          <w:lang w:val="tr-TR"/>
        </w:rPr>
        <w:t xml:space="preserve">Kıymetli Eşyalar </w:t>
      </w:r>
    </w:p>
    <w:p w:rsidR="008F5F09" w:rsidRPr="00793123" w:rsidRDefault="008F5F09">
      <w:pPr>
        <w:pStyle w:val="GvdeMetni"/>
        <w:spacing w:before="1"/>
        <w:rPr>
          <w:b/>
          <w:noProof/>
          <w:sz w:val="28"/>
          <w:lang w:val="tr-TR"/>
        </w:rPr>
      </w:pPr>
    </w:p>
    <w:p w:rsidR="008F5F09" w:rsidRPr="00793123" w:rsidRDefault="007B2E9B" w:rsidP="007B2E9B">
      <w:pPr>
        <w:pStyle w:val="GvdeMetni"/>
        <w:spacing w:line="290" w:lineRule="auto"/>
        <w:ind w:left="471" w:right="128"/>
        <w:jc w:val="both"/>
        <w:rPr>
          <w:noProof/>
          <w:lang w:val="tr-TR"/>
        </w:rPr>
      </w:pPr>
      <w:r w:rsidRPr="00793123">
        <w:rPr>
          <w:noProof/>
          <w:w w:val="90"/>
          <w:lang w:val="tr-TR"/>
        </w:rPr>
        <w:t>Rüşvet vermek, nakit para dışında farklı şekillerde olabilir ve bunlar da yine yasaktır. Örneğin, aşağıdakilerin tümü “değerli herhangi bir şey” olarak kabul edilebilir</w:t>
      </w:r>
      <w:r w:rsidR="00A52476" w:rsidRPr="00793123">
        <w:rPr>
          <w:noProof/>
          <w:lang w:val="tr-TR"/>
        </w:rPr>
        <w:t>:</w:t>
      </w:r>
    </w:p>
    <w:p w:rsidR="008F5F09" w:rsidRPr="00793123" w:rsidRDefault="008F5F09">
      <w:pPr>
        <w:pStyle w:val="GvdeMetni"/>
        <w:rPr>
          <w:noProof/>
          <w:sz w:val="24"/>
          <w:lang w:val="tr-TR"/>
        </w:rPr>
      </w:pPr>
    </w:p>
    <w:p w:rsidR="008F5F09" w:rsidRPr="00793123" w:rsidRDefault="007B2E9B">
      <w:pPr>
        <w:pStyle w:val="ListeParagraf"/>
        <w:numPr>
          <w:ilvl w:val="2"/>
          <w:numId w:val="2"/>
        </w:numPr>
        <w:tabs>
          <w:tab w:val="left" w:pos="1191"/>
          <w:tab w:val="left" w:pos="1192"/>
        </w:tabs>
        <w:ind w:hanging="361"/>
        <w:rPr>
          <w:noProof/>
          <w:sz w:val="20"/>
          <w:lang w:val="tr-TR"/>
        </w:rPr>
      </w:pPr>
      <w:r w:rsidRPr="00793123">
        <w:rPr>
          <w:noProof/>
          <w:w w:val="90"/>
          <w:sz w:val="20"/>
          <w:lang w:val="tr-TR"/>
        </w:rPr>
        <w:t xml:space="preserve">Ödeme yapma teklifi </w:t>
      </w:r>
      <w:r w:rsidR="00A52476" w:rsidRPr="00793123">
        <w:rPr>
          <w:noProof/>
          <w:w w:val="90"/>
          <w:sz w:val="20"/>
          <w:lang w:val="tr-TR"/>
        </w:rPr>
        <w:t>(</w:t>
      </w:r>
      <w:r w:rsidRPr="00793123">
        <w:rPr>
          <w:noProof/>
          <w:w w:val="90"/>
          <w:sz w:val="20"/>
          <w:lang w:val="tr-TR"/>
        </w:rPr>
        <w:t>kabul edilmese bile</w:t>
      </w:r>
      <w:r w:rsidR="00A52476" w:rsidRPr="00793123">
        <w:rPr>
          <w:noProof/>
          <w:w w:val="90"/>
          <w:sz w:val="20"/>
          <w:lang w:val="tr-TR"/>
        </w:rPr>
        <w:t>);</w:t>
      </w:r>
    </w:p>
    <w:p w:rsidR="008F5F09" w:rsidRPr="00793123" w:rsidRDefault="007B2E9B">
      <w:pPr>
        <w:pStyle w:val="ListeParagraf"/>
        <w:numPr>
          <w:ilvl w:val="2"/>
          <w:numId w:val="2"/>
        </w:numPr>
        <w:tabs>
          <w:tab w:val="left" w:pos="1191"/>
          <w:tab w:val="left" w:pos="1192"/>
        </w:tabs>
        <w:spacing w:before="49"/>
        <w:ind w:hanging="361"/>
        <w:rPr>
          <w:noProof/>
          <w:sz w:val="20"/>
          <w:lang w:val="tr-TR"/>
        </w:rPr>
      </w:pPr>
      <w:r w:rsidRPr="00793123">
        <w:rPr>
          <w:noProof/>
          <w:w w:val="90"/>
          <w:sz w:val="20"/>
          <w:lang w:val="tr-TR"/>
        </w:rPr>
        <w:t>Ödeme yapma vaadi</w:t>
      </w:r>
      <w:r w:rsidR="00A52476" w:rsidRPr="00793123">
        <w:rPr>
          <w:noProof/>
          <w:w w:val="90"/>
          <w:sz w:val="20"/>
          <w:lang w:val="tr-TR"/>
        </w:rPr>
        <w:t>;</w:t>
      </w:r>
    </w:p>
    <w:p w:rsidR="008F5F09" w:rsidRPr="00793123" w:rsidRDefault="007B2E9B">
      <w:pPr>
        <w:pStyle w:val="ListeParagraf"/>
        <w:numPr>
          <w:ilvl w:val="2"/>
          <w:numId w:val="2"/>
        </w:numPr>
        <w:tabs>
          <w:tab w:val="left" w:pos="1191"/>
          <w:tab w:val="left" w:pos="1192"/>
        </w:tabs>
        <w:spacing w:before="46" w:line="290" w:lineRule="auto"/>
        <w:ind w:right="330"/>
        <w:rPr>
          <w:noProof/>
          <w:sz w:val="20"/>
          <w:lang w:val="tr-TR"/>
        </w:rPr>
      </w:pPr>
      <w:r w:rsidRPr="00793123">
        <w:rPr>
          <w:noProof/>
          <w:w w:val="90"/>
          <w:sz w:val="20"/>
          <w:lang w:val="tr-TR"/>
        </w:rPr>
        <w:t xml:space="preserve">Hediye vermek ve ağırlamak </w:t>
      </w:r>
      <w:r w:rsidR="00A52476" w:rsidRPr="00793123">
        <w:rPr>
          <w:noProof/>
          <w:w w:val="90"/>
          <w:sz w:val="20"/>
          <w:lang w:val="tr-TR"/>
        </w:rPr>
        <w:t>(</w:t>
      </w:r>
      <w:r w:rsidRPr="00793123">
        <w:rPr>
          <w:noProof/>
          <w:w w:val="90"/>
          <w:sz w:val="20"/>
          <w:lang w:val="tr-TR"/>
        </w:rPr>
        <w:t xml:space="preserve">ayrıca </w:t>
      </w:r>
      <w:r w:rsidRPr="00793123">
        <w:rPr>
          <w:i/>
          <w:noProof/>
          <w:w w:val="90"/>
          <w:sz w:val="20"/>
          <w:lang w:val="tr-TR"/>
        </w:rPr>
        <w:t>Küresel Hediye ve Ağırlama Politikası ile Küresel Sağlık Hizmetleri Uygunluk Politikasına da bakınız)</w:t>
      </w:r>
      <w:r w:rsidR="00A52476" w:rsidRPr="00793123">
        <w:rPr>
          <w:noProof/>
          <w:sz w:val="20"/>
          <w:lang w:val="tr-TR"/>
        </w:rPr>
        <w:t>;</w:t>
      </w:r>
    </w:p>
    <w:p w:rsidR="008F5F09" w:rsidRPr="00793123" w:rsidRDefault="007B2E9B">
      <w:pPr>
        <w:pStyle w:val="ListeParagraf"/>
        <w:numPr>
          <w:ilvl w:val="2"/>
          <w:numId w:val="2"/>
        </w:numPr>
        <w:tabs>
          <w:tab w:val="left" w:pos="1191"/>
          <w:tab w:val="left" w:pos="1192"/>
        </w:tabs>
        <w:spacing w:line="232" w:lineRule="exact"/>
        <w:ind w:hanging="361"/>
        <w:rPr>
          <w:noProof/>
          <w:sz w:val="20"/>
          <w:lang w:val="tr-TR"/>
        </w:rPr>
      </w:pPr>
      <w:r w:rsidRPr="00793123">
        <w:rPr>
          <w:noProof/>
          <w:sz w:val="20"/>
          <w:lang w:val="tr-TR"/>
        </w:rPr>
        <w:t>Hisse</w:t>
      </w:r>
      <w:r w:rsidR="00A52476" w:rsidRPr="00793123">
        <w:rPr>
          <w:noProof/>
          <w:sz w:val="20"/>
          <w:lang w:val="tr-TR"/>
        </w:rPr>
        <w:t>;</w:t>
      </w:r>
    </w:p>
    <w:p w:rsidR="008F5F09" w:rsidRPr="00793123" w:rsidRDefault="007B2E9B">
      <w:pPr>
        <w:pStyle w:val="ListeParagraf"/>
        <w:numPr>
          <w:ilvl w:val="2"/>
          <w:numId w:val="2"/>
        </w:numPr>
        <w:tabs>
          <w:tab w:val="left" w:pos="1191"/>
          <w:tab w:val="left" w:pos="1192"/>
        </w:tabs>
        <w:spacing w:before="46" w:line="290" w:lineRule="auto"/>
        <w:ind w:right="574"/>
        <w:rPr>
          <w:noProof/>
          <w:sz w:val="20"/>
          <w:lang w:val="tr-TR"/>
        </w:rPr>
      </w:pPr>
      <w:r w:rsidRPr="00793123">
        <w:rPr>
          <w:noProof/>
          <w:w w:val="90"/>
          <w:sz w:val="20"/>
          <w:lang w:val="tr-TR"/>
        </w:rPr>
        <w:t xml:space="preserve">Bağışlar ve katkılar (ayrıca Linde’nin </w:t>
      </w:r>
      <w:r w:rsidR="00C14239" w:rsidRPr="00793123">
        <w:rPr>
          <w:i/>
          <w:noProof/>
          <w:w w:val="90"/>
          <w:sz w:val="20"/>
          <w:lang w:val="tr-TR"/>
        </w:rPr>
        <w:t xml:space="preserve">Küresel Bağış </w:t>
      </w:r>
      <w:r w:rsidR="00A52476" w:rsidRPr="00793123">
        <w:rPr>
          <w:i/>
          <w:noProof/>
          <w:w w:val="90"/>
          <w:sz w:val="20"/>
          <w:lang w:val="tr-TR"/>
        </w:rPr>
        <w:t>Program</w:t>
      </w:r>
      <w:r w:rsidR="00C14239" w:rsidRPr="00793123">
        <w:rPr>
          <w:i/>
          <w:noProof/>
          <w:spacing w:val="-8"/>
          <w:w w:val="90"/>
          <w:sz w:val="20"/>
          <w:lang w:val="tr-TR"/>
        </w:rPr>
        <w:t xml:space="preserve">ı </w:t>
      </w:r>
      <w:r w:rsidR="002C6FCF" w:rsidRPr="00793123">
        <w:rPr>
          <w:i/>
          <w:noProof/>
          <w:spacing w:val="-8"/>
          <w:w w:val="90"/>
          <w:sz w:val="20"/>
          <w:lang w:val="tr-TR"/>
        </w:rPr>
        <w:t xml:space="preserve">Kılavuzuna </w:t>
      </w:r>
      <w:r w:rsidR="00C14239" w:rsidRPr="00793123">
        <w:rPr>
          <w:noProof/>
          <w:w w:val="90"/>
          <w:sz w:val="20"/>
          <w:lang w:val="tr-TR"/>
        </w:rPr>
        <w:t xml:space="preserve">ve </w:t>
      </w:r>
      <w:r w:rsidR="00C14239" w:rsidRPr="00793123">
        <w:rPr>
          <w:i/>
          <w:noProof/>
          <w:w w:val="90"/>
          <w:sz w:val="20"/>
          <w:lang w:val="tr-TR"/>
        </w:rPr>
        <w:t>Küresel Sağlık Hizmetleri Uygunluk Politikasına da bakınız</w:t>
      </w:r>
      <w:r w:rsidR="00A52476" w:rsidRPr="00793123">
        <w:rPr>
          <w:noProof/>
          <w:sz w:val="20"/>
          <w:lang w:val="tr-TR"/>
        </w:rPr>
        <w:t>);</w:t>
      </w:r>
    </w:p>
    <w:p w:rsidR="008F5F09" w:rsidRPr="00793123" w:rsidRDefault="00C14239">
      <w:pPr>
        <w:pStyle w:val="ListeParagraf"/>
        <w:numPr>
          <w:ilvl w:val="2"/>
          <w:numId w:val="2"/>
        </w:numPr>
        <w:tabs>
          <w:tab w:val="left" w:pos="1191"/>
          <w:tab w:val="left" w:pos="1192"/>
        </w:tabs>
        <w:spacing w:line="232" w:lineRule="exact"/>
        <w:ind w:hanging="361"/>
        <w:rPr>
          <w:noProof/>
          <w:sz w:val="20"/>
          <w:lang w:val="tr-TR"/>
        </w:rPr>
      </w:pPr>
      <w:r w:rsidRPr="00793123">
        <w:rPr>
          <w:noProof/>
          <w:w w:val="90"/>
          <w:sz w:val="20"/>
          <w:lang w:val="tr-TR"/>
        </w:rPr>
        <w:t>Hâlihazırda kamuya sunulmayan ürünler ve hizmetler indirim yapmak</w:t>
      </w:r>
      <w:r w:rsidR="00A52476" w:rsidRPr="00793123">
        <w:rPr>
          <w:noProof/>
          <w:w w:val="90"/>
          <w:sz w:val="20"/>
          <w:lang w:val="tr-TR"/>
        </w:rPr>
        <w:t>;</w:t>
      </w:r>
    </w:p>
    <w:p w:rsidR="008F5F09" w:rsidRPr="00793123" w:rsidRDefault="00A52476">
      <w:pPr>
        <w:pStyle w:val="ListeParagraf"/>
        <w:numPr>
          <w:ilvl w:val="2"/>
          <w:numId w:val="2"/>
        </w:numPr>
        <w:tabs>
          <w:tab w:val="left" w:pos="1191"/>
          <w:tab w:val="left" w:pos="1192"/>
        </w:tabs>
        <w:spacing w:before="46"/>
        <w:ind w:hanging="361"/>
        <w:rPr>
          <w:noProof/>
          <w:sz w:val="20"/>
          <w:lang w:val="tr-TR"/>
        </w:rPr>
      </w:pPr>
      <w:r w:rsidRPr="00793123">
        <w:rPr>
          <w:noProof/>
          <w:w w:val="90"/>
          <w:sz w:val="20"/>
          <w:lang w:val="tr-TR"/>
        </w:rPr>
        <w:t>İş</w:t>
      </w:r>
      <w:r w:rsidR="00C14239" w:rsidRPr="00793123">
        <w:rPr>
          <w:noProof/>
          <w:w w:val="90"/>
          <w:sz w:val="20"/>
          <w:lang w:val="tr-TR"/>
        </w:rPr>
        <w:t xml:space="preserve"> teklif etmek</w:t>
      </w:r>
      <w:r w:rsidRPr="00793123">
        <w:rPr>
          <w:noProof/>
          <w:w w:val="90"/>
          <w:sz w:val="20"/>
          <w:lang w:val="tr-TR"/>
        </w:rPr>
        <w:t>;</w:t>
      </w:r>
    </w:p>
    <w:p w:rsidR="008F5F09" w:rsidRPr="00793123" w:rsidRDefault="00C14239">
      <w:pPr>
        <w:pStyle w:val="ListeParagraf"/>
        <w:numPr>
          <w:ilvl w:val="2"/>
          <w:numId w:val="2"/>
        </w:numPr>
        <w:tabs>
          <w:tab w:val="left" w:pos="1191"/>
          <w:tab w:val="left" w:pos="1192"/>
        </w:tabs>
        <w:spacing w:before="49"/>
        <w:ind w:hanging="361"/>
        <w:rPr>
          <w:noProof/>
          <w:sz w:val="20"/>
          <w:lang w:val="tr-TR"/>
        </w:rPr>
      </w:pPr>
      <w:r w:rsidRPr="00793123">
        <w:rPr>
          <w:noProof/>
          <w:w w:val="90"/>
          <w:sz w:val="20"/>
          <w:lang w:val="tr-TR"/>
        </w:rPr>
        <w:t>Bir borcun affedilmesi ve üstlenilmesi;</w:t>
      </w:r>
    </w:p>
    <w:p w:rsidR="008F5F09" w:rsidRPr="00793123" w:rsidRDefault="00C14239">
      <w:pPr>
        <w:pStyle w:val="ListeParagraf"/>
        <w:numPr>
          <w:ilvl w:val="2"/>
          <w:numId w:val="2"/>
        </w:numPr>
        <w:tabs>
          <w:tab w:val="left" w:pos="1191"/>
          <w:tab w:val="left" w:pos="1192"/>
        </w:tabs>
        <w:spacing w:before="48"/>
        <w:ind w:hanging="361"/>
        <w:rPr>
          <w:noProof/>
          <w:sz w:val="20"/>
          <w:lang w:val="tr-TR"/>
        </w:rPr>
      </w:pPr>
      <w:r w:rsidRPr="00793123">
        <w:rPr>
          <w:noProof/>
          <w:w w:val="90"/>
          <w:sz w:val="20"/>
          <w:lang w:val="tr-TR"/>
        </w:rPr>
        <w:t>Seyahat masraflarının geri ödenmesi</w:t>
      </w:r>
      <w:r w:rsidR="00A52476" w:rsidRPr="00793123">
        <w:rPr>
          <w:noProof/>
          <w:w w:val="90"/>
          <w:sz w:val="20"/>
          <w:lang w:val="tr-TR"/>
        </w:rPr>
        <w:t>.</w:t>
      </w:r>
    </w:p>
    <w:p w:rsidR="008F5F09" w:rsidRPr="00793123" w:rsidRDefault="008F5F09">
      <w:pPr>
        <w:pStyle w:val="GvdeMetni"/>
        <w:spacing w:before="3"/>
        <w:rPr>
          <w:noProof/>
          <w:sz w:val="28"/>
          <w:lang w:val="tr-TR"/>
        </w:rPr>
      </w:pPr>
    </w:p>
    <w:p w:rsidR="008F5F09" w:rsidRPr="00793123" w:rsidRDefault="00C14239" w:rsidP="00C14239">
      <w:pPr>
        <w:pStyle w:val="GvdeMetni"/>
        <w:spacing w:line="288" w:lineRule="auto"/>
        <w:ind w:left="471" w:right="152"/>
        <w:jc w:val="both"/>
        <w:rPr>
          <w:noProof/>
          <w:lang w:val="tr-TR"/>
        </w:rPr>
      </w:pPr>
      <w:r w:rsidRPr="00793123">
        <w:rPr>
          <w:noProof/>
          <w:w w:val="90"/>
          <w:lang w:val="tr-TR"/>
        </w:rPr>
        <w:t>Bu liste kapsamlı bir liste olmadığı için ve bu konuların karmaşık olması sebebiyle, uygun olmayan bir ödeme gibi görünebilecek herhangi bir ödeme yapmadan veya ödemeye izin vermeden önce uyum görevlinize veya atanmış hukuk müşavirinize danışın.</w:t>
      </w:r>
    </w:p>
    <w:p w:rsidR="008F5F09" w:rsidRPr="00793123" w:rsidRDefault="008F5F09">
      <w:pPr>
        <w:pStyle w:val="GvdeMetni"/>
        <w:spacing w:before="9"/>
        <w:rPr>
          <w:noProof/>
          <w:sz w:val="21"/>
          <w:lang w:val="tr-TR"/>
        </w:rPr>
      </w:pPr>
    </w:p>
    <w:p w:rsidR="008F5F09" w:rsidRPr="00793123" w:rsidRDefault="00C14239">
      <w:pPr>
        <w:pStyle w:val="Balk1"/>
        <w:numPr>
          <w:ilvl w:val="1"/>
          <w:numId w:val="2"/>
        </w:numPr>
        <w:tabs>
          <w:tab w:val="left" w:pos="1011"/>
          <w:tab w:val="left" w:pos="1012"/>
        </w:tabs>
        <w:ind w:hanging="541"/>
        <w:rPr>
          <w:noProof/>
          <w:lang w:val="tr-TR"/>
        </w:rPr>
      </w:pPr>
      <w:bookmarkStart w:id="4" w:name="_bookmark3"/>
      <w:bookmarkEnd w:id="4"/>
      <w:r w:rsidRPr="00793123">
        <w:rPr>
          <w:noProof/>
          <w:color w:val="003E6C"/>
          <w:w w:val="85"/>
          <w:lang w:val="tr-TR"/>
        </w:rPr>
        <w:t xml:space="preserve">Hediyeler ve Ağırlama </w:t>
      </w:r>
    </w:p>
    <w:p w:rsidR="008F5F09" w:rsidRPr="00793123" w:rsidRDefault="008F5F09">
      <w:pPr>
        <w:pStyle w:val="GvdeMetni"/>
        <w:rPr>
          <w:b/>
          <w:noProof/>
          <w:sz w:val="28"/>
          <w:lang w:val="tr-TR"/>
        </w:rPr>
      </w:pPr>
    </w:p>
    <w:p w:rsidR="008F5F09" w:rsidRPr="00793123" w:rsidRDefault="00C14239" w:rsidP="00C14239">
      <w:pPr>
        <w:pStyle w:val="GvdeMetni"/>
        <w:spacing w:before="1" w:line="290" w:lineRule="auto"/>
        <w:ind w:left="471"/>
        <w:jc w:val="both"/>
        <w:rPr>
          <w:noProof/>
          <w:lang w:val="tr-TR"/>
        </w:rPr>
      </w:pPr>
      <w:r w:rsidRPr="00793123">
        <w:rPr>
          <w:noProof/>
          <w:w w:val="90"/>
          <w:lang w:val="tr-TR"/>
        </w:rPr>
        <w:t>Hediyeler ve ağırlamalar Linde, iş ortaklarımız ve diğer üçüncü taraflar arasında iyi niyet tesis etmek amacıyla kullanılabilir. Bazen adetler gereğince makul hediyelerin verilmesine ve ağırlama yapılmasına ya da bunların kabul edilmesine belirli koşullar altında izin verilir.</w:t>
      </w:r>
    </w:p>
    <w:p w:rsidR="008F5F09" w:rsidRPr="00793123" w:rsidRDefault="008F5F09">
      <w:pPr>
        <w:spacing w:line="290" w:lineRule="auto"/>
        <w:rPr>
          <w:noProof/>
          <w:lang w:val="tr-TR"/>
        </w:rPr>
        <w:sectPr w:rsidR="008F5F09" w:rsidRPr="00793123">
          <w:pgSz w:w="11910" w:h="16840"/>
          <w:pgMar w:top="2080" w:right="1300" w:bottom="1400" w:left="1300" w:header="567" w:footer="1201" w:gutter="0"/>
          <w:cols w:space="708"/>
        </w:sect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spacing w:before="6"/>
        <w:rPr>
          <w:noProof/>
          <w:sz w:val="27"/>
          <w:lang w:val="tr-TR"/>
        </w:rPr>
      </w:pPr>
    </w:p>
    <w:p w:rsidR="008F5F09" w:rsidRPr="00793123" w:rsidRDefault="008439AD" w:rsidP="008439AD">
      <w:pPr>
        <w:pStyle w:val="GvdeMetni"/>
        <w:spacing w:before="65"/>
        <w:ind w:left="471"/>
        <w:jc w:val="both"/>
        <w:rPr>
          <w:noProof/>
          <w:lang w:val="tr-TR"/>
        </w:rPr>
      </w:pPr>
      <w:r w:rsidRPr="00793123">
        <w:rPr>
          <w:noProof/>
          <w:w w:val="90"/>
          <w:lang w:val="tr-TR"/>
        </w:rPr>
        <w:t xml:space="preserve">Bu koşullar sınırlamalar içerir ve özel onaylar gerektirir </w:t>
      </w:r>
      <w:r w:rsidR="00A52476" w:rsidRPr="00793123">
        <w:rPr>
          <w:noProof/>
          <w:w w:val="90"/>
          <w:lang w:val="tr-TR"/>
        </w:rPr>
        <w:t>(</w:t>
      </w:r>
      <w:r w:rsidRPr="00793123">
        <w:rPr>
          <w:noProof/>
          <w:w w:val="90"/>
          <w:lang w:val="tr-TR"/>
        </w:rPr>
        <w:t xml:space="preserve">diğer ayrıntılar için lütfen </w:t>
      </w:r>
      <w:r w:rsidRPr="00793123">
        <w:rPr>
          <w:i/>
          <w:noProof/>
          <w:w w:val="90"/>
          <w:lang w:val="tr-TR"/>
        </w:rPr>
        <w:t>Küresel Hediye ve</w:t>
      </w:r>
      <w:r w:rsidRPr="00793123">
        <w:rPr>
          <w:noProof/>
          <w:w w:val="90"/>
          <w:lang w:val="tr-TR"/>
        </w:rPr>
        <w:t xml:space="preserve"> </w:t>
      </w:r>
    </w:p>
    <w:p w:rsidR="008F5F09" w:rsidRPr="00793123" w:rsidRDefault="008439AD">
      <w:pPr>
        <w:spacing w:before="46"/>
        <w:ind w:left="471"/>
        <w:rPr>
          <w:noProof/>
          <w:sz w:val="20"/>
          <w:lang w:val="tr-TR"/>
        </w:rPr>
      </w:pPr>
      <w:r w:rsidRPr="00793123">
        <w:rPr>
          <w:i/>
          <w:noProof/>
          <w:w w:val="90"/>
          <w:sz w:val="20"/>
          <w:szCs w:val="20"/>
          <w:lang w:val="tr-TR"/>
        </w:rPr>
        <w:t>Ağırlama Politikası</w:t>
      </w:r>
      <w:r w:rsidRPr="00793123">
        <w:rPr>
          <w:noProof/>
          <w:w w:val="90"/>
          <w:sz w:val="20"/>
          <w:szCs w:val="20"/>
          <w:lang w:val="tr-TR"/>
        </w:rPr>
        <w:t xml:space="preserve"> ile </w:t>
      </w:r>
      <w:r w:rsidRPr="00793123">
        <w:rPr>
          <w:i/>
          <w:noProof/>
          <w:w w:val="90"/>
          <w:sz w:val="20"/>
          <w:szCs w:val="20"/>
          <w:lang w:val="tr-TR"/>
        </w:rPr>
        <w:t xml:space="preserve">Küresel Sağlık Hizmetleri Uygunluk </w:t>
      </w:r>
      <w:r w:rsidR="002C6FCF" w:rsidRPr="00793123">
        <w:rPr>
          <w:i/>
          <w:noProof/>
          <w:w w:val="90"/>
          <w:sz w:val="20"/>
          <w:szCs w:val="20"/>
          <w:lang w:val="tr-TR"/>
        </w:rPr>
        <w:t xml:space="preserve">Kılavuzuna </w:t>
      </w:r>
      <w:r w:rsidRPr="00793123">
        <w:rPr>
          <w:noProof/>
          <w:w w:val="90"/>
          <w:sz w:val="20"/>
          <w:szCs w:val="20"/>
          <w:lang w:val="tr-TR"/>
        </w:rPr>
        <w:t xml:space="preserve">bakınız). </w:t>
      </w:r>
    </w:p>
    <w:p w:rsidR="008F5F09" w:rsidRPr="00793123" w:rsidRDefault="008439AD" w:rsidP="008439AD">
      <w:pPr>
        <w:pStyle w:val="GvdeMetni"/>
        <w:spacing w:before="48" w:line="290" w:lineRule="auto"/>
        <w:ind w:left="471" w:right="117"/>
        <w:jc w:val="both"/>
        <w:rPr>
          <w:noProof/>
          <w:lang w:val="tr-TR"/>
        </w:rPr>
      </w:pPr>
      <w:r w:rsidRPr="00793123">
        <w:rPr>
          <w:noProof/>
          <w:w w:val="90"/>
          <w:lang w:val="tr-TR"/>
        </w:rPr>
        <w:t>Miktarı ne olursa olsun hediyenin veya ağırlamanın niteliği, amacı, görünümü, hediyeyi veya ağırlamayı sağlayan ve alan kişilerin pozisyonları, iş bağlamı ve yürürlükteki yasalar ve sosyal normlar dâhil olmak üzere, Linde Personeli ve Linde adına hareket eden diğer kişiler, ilgili koşulları dikkate alarak sağduyulu hareket etmelidir.</w:t>
      </w:r>
    </w:p>
    <w:p w:rsidR="008F5F09" w:rsidRPr="00793123" w:rsidRDefault="008F5F09">
      <w:pPr>
        <w:pStyle w:val="GvdeMetni"/>
        <w:spacing w:before="8"/>
        <w:rPr>
          <w:noProof/>
          <w:sz w:val="23"/>
          <w:lang w:val="tr-TR"/>
        </w:rPr>
      </w:pPr>
    </w:p>
    <w:p w:rsidR="008F5F09" w:rsidRPr="00793123" w:rsidRDefault="008439AD" w:rsidP="008439AD">
      <w:pPr>
        <w:pStyle w:val="GvdeMetni"/>
        <w:spacing w:line="290" w:lineRule="auto"/>
        <w:ind w:left="471" w:right="128"/>
        <w:jc w:val="both"/>
        <w:rPr>
          <w:noProof/>
          <w:lang w:val="tr-TR"/>
        </w:rPr>
      </w:pPr>
      <w:r w:rsidRPr="00793123">
        <w:rPr>
          <w:noProof/>
          <w:w w:val="90"/>
          <w:lang w:val="tr-TR"/>
        </w:rPr>
        <w:t>Hediyele</w:t>
      </w:r>
      <w:r w:rsidR="002C6FCF" w:rsidRPr="00793123">
        <w:rPr>
          <w:noProof/>
          <w:w w:val="90"/>
          <w:lang w:val="tr-TR"/>
        </w:rPr>
        <w:t xml:space="preserve">r ve ağırlamalar Linde açısından uygun olmayan </w:t>
      </w:r>
      <w:r w:rsidRPr="00793123">
        <w:rPr>
          <w:noProof/>
          <w:w w:val="90"/>
          <w:lang w:val="tr-TR"/>
        </w:rPr>
        <w:t>bir avantaj yaratmayı amaçlamamalıdır. Ayrıca sağlanan hediye</w:t>
      </w:r>
      <w:r w:rsidR="002C6FCF" w:rsidRPr="00793123">
        <w:rPr>
          <w:noProof/>
          <w:w w:val="90"/>
          <w:lang w:val="tr-TR"/>
        </w:rPr>
        <w:t>ler</w:t>
      </w:r>
      <w:r w:rsidRPr="00793123">
        <w:rPr>
          <w:noProof/>
          <w:w w:val="90"/>
          <w:lang w:val="tr-TR"/>
        </w:rPr>
        <w:t xml:space="preserve"> ve ağırlama</w:t>
      </w:r>
      <w:r w:rsidR="002C6FCF" w:rsidRPr="00793123">
        <w:rPr>
          <w:noProof/>
          <w:w w:val="90"/>
          <w:lang w:val="tr-TR"/>
        </w:rPr>
        <w:t>lara ilişkin harcamalar,</w:t>
      </w:r>
      <w:r w:rsidRPr="00793123">
        <w:rPr>
          <w:noProof/>
          <w:w w:val="90"/>
          <w:lang w:val="tr-TR"/>
        </w:rPr>
        <w:t xml:space="preserve"> Linde'nin defter ve kayıtlarına doğru bir şekilde kaydedilmelidir.</w:t>
      </w:r>
    </w:p>
    <w:p w:rsidR="008F5F09" w:rsidRPr="00793123" w:rsidRDefault="008F5F09">
      <w:pPr>
        <w:pStyle w:val="GvdeMetni"/>
        <w:rPr>
          <w:noProof/>
          <w:sz w:val="24"/>
          <w:lang w:val="tr-TR"/>
        </w:rPr>
      </w:pPr>
    </w:p>
    <w:p w:rsidR="008F5F09" w:rsidRPr="00793123" w:rsidRDefault="002C6FCF" w:rsidP="002C6FCF">
      <w:pPr>
        <w:spacing w:line="290" w:lineRule="auto"/>
        <w:ind w:left="471"/>
        <w:jc w:val="both"/>
        <w:rPr>
          <w:noProof/>
          <w:sz w:val="20"/>
          <w:lang w:val="tr-TR"/>
        </w:rPr>
      </w:pPr>
      <w:r w:rsidRPr="00793123">
        <w:rPr>
          <w:noProof/>
          <w:w w:val="90"/>
          <w:sz w:val="20"/>
          <w:lang w:val="tr-TR"/>
        </w:rPr>
        <w:t xml:space="preserve">Tüm çalışanlar, </w:t>
      </w:r>
      <w:r w:rsidRPr="00793123">
        <w:rPr>
          <w:i/>
          <w:noProof/>
          <w:w w:val="90"/>
          <w:sz w:val="20"/>
          <w:szCs w:val="20"/>
          <w:lang w:val="tr-TR"/>
        </w:rPr>
        <w:t>Küresel Hediye ve Ağırlama Politikası</w:t>
      </w:r>
      <w:r w:rsidRPr="00793123">
        <w:rPr>
          <w:noProof/>
          <w:w w:val="90"/>
          <w:sz w:val="20"/>
          <w:szCs w:val="20"/>
          <w:lang w:val="tr-TR"/>
        </w:rPr>
        <w:t xml:space="preserve"> ile </w:t>
      </w:r>
      <w:r w:rsidRPr="00793123">
        <w:rPr>
          <w:i/>
          <w:noProof/>
          <w:w w:val="90"/>
          <w:sz w:val="20"/>
          <w:szCs w:val="20"/>
          <w:lang w:val="tr-TR"/>
        </w:rPr>
        <w:t xml:space="preserve">Küresel Sağlık Hizmetleri Uygunluk Kılavuzunu </w:t>
      </w:r>
      <w:r w:rsidRPr="00793123">
        <w:rPr>
          <w:noProof/>
          <w:w w:val="90"/>
          <w:sz w:val="20"/>
          <w:lang w:val="tr-TR"/>
        </w:rPr>
        <w:t>bilmeli ve bunları yakından takip etmelidir</w:t>
      </w:r>
      <w:r w:rsidR="00A52476" w:rsidRPr="00793123">
        <w:rPr>
          <w:noProof/>
          <w:sz w:val="20"/>
          <w:lang w:val="tr-TR"/>
        </w:rPr>
        <w:t>.</w:t>
      </w:r>
    </w:p>
    <w:p w:rsidR="008F5F09" w:rsidRPr="00793123" w:rsidRDefault="008F5F09">
      <w:pPr>
        <w:pStyle w:val="GvdeMetni"/>
        <w:spacing w:before="2"/>
        <w:rPr>
          <w:noProof/>
          <w:sz w:val="21"/>
          <w:lang w:val="tr-TR"/>
        </w:rPr>
      </w:pPr>
    </w:p>
    <w:p w:rsidR="008F5F09" w:rsidRPr="00793123" w:rsidRDefault="002C6FCF">
      <w:pPr>
        <w:pStyle w:val="Balk1"/>
        <w:numPr>
          <w:ilvl w:val="1"/>
          <w:numId w:val="2"/>
        </w:numPr>
        <w:tabs>
          <w:tab w:val="left" w:pos="1011"/>
          <w:tab w:val="left" w:pos="1012"/>
        </w:tabs>
        <w:ind w:hanging="541"/>
        <w:rPr>
          <w:noProof/>
          <w:lang w:val="tr-TR"/>
        </w:rPr>
      </w:pPr>
      <w:bookmarkStart w:id="5" w:name="_bookmark4"/>
      <w:bookmarkEnd w:id="5"/>
      <w:r w:rsidRPr="00793123">
        <w:rPr>
          <w:noProof/>
          <w:color w:val="003E6C"/>
          <w:w w:val="90"/>
          <w:lang w:val="tr-TR"/>
        </w:rPr>
        <w:t xml:space="preserve">Kayıt Tutma ve Muhasebe İç Kontrolleri </w:t>
      </w:r>
    </w:p>
    <w:p w:rsidR="008F5F09" w:rsidRPr="00793123" w:rsidRDefault="008F5F09">
      <w:pPr>
        <w:pStyle w:val="GvdeMetni"/>
        <w:spacing w:before="4"/>
        <w:rPr>
          <w:b/>
          <w:noProof/>
          <w:sz w:val="28"/>
          <w:lang w:val="tr-TR"/>
        </w:rPr>
      </w:pPr>
    </w:p>
    <w:p w:rsidR="008F5F09" w:rsidRPr="00793123" w:rsidRDefault="00E16524" w:rsidP="002C6FCF">
      <w:pPr>
        <w:pStyle w:val="GvdeMetni"/>
        <w:spacing w:line="290" w:lineRule="auto"/>
        <w:ind w:left="471" w:right="254"/>
        <w:jc w:val="both"/>
        <w:rPr>
          <w:noProof/>
          <w:lang w:val="tr-TR"/>
        </w:rPr>
      </w:pPr>
      <w:r w:rsidRPr="00793123">
        <w:rPr>
          <w:noProof/>
          <w:w w:val="90"/>
          <w:lang w:val="tr-TR"/>
        </w:rPr>
        <w:t>FCPA, ABD Menkul Kıymetler ve Borsa Komisyonuna (SEC) ve ABD Adalet Bakanlığına (DOJ) uygulama yetkisi verir ve Linde gibi menkul kıymetleri ABD'de kote edilen şirketlerin kendi muhasebe hükümlerine uymasını şart koşar.</w:t>
      </w:r>
      <w:r w:rsidR="00A52476" w:rsidRPr="00793123">
        <w:rPr>
          <w:noProof/>
          <w:w w:val="90"/>
          <w:lang w:val="tr-TR"/>
        </w:rPr>
        <w:t xml:space="preserve"> </w:t>
      </w:r>
      <w:r w:rsidRPr="00793123">
        <w:rPr>
          <w:noProof/>
          <w:w w:val="90"/>
          <w:lang w:val="tr-TR"/>
        </w:rPr>
        <w:t xml:space="preserve">Bu muhasebe hükümleri, FCPA'nın rüşveti önleme bölümüyle birlikte uygulanır. Bu hükümler aynı zamanda şirketlerin, şirketin işlemlerini doğru ve adil bir şekilde yansıtan defter ve kayıtlar tutmasını, yeterli bir iç muhasebe kontrol sistemi tasarlayıp sürdürmesini gerektirir. </w:t>
      </w:r>
      <w:r w:rsidR="00F52390" w:rsidRPr="00793123">
        <w:rPr>
          <w:noProof/>
          <w:w w:val="90"/>
          <w:lang w:val="tr-TR"/>
        </w:rPr>
        <w:t>Bu hükümlerin amacı, şirketlerin rüşvetleri gizlemesini önlemek ve onları hileli muhasebe uygulamalarından caydırmaktır.</w:t>
      </w:r>
    </w:p>
    <w:p w:rsidR="008F5F09" w:rsidRPr="00793123" w:rsidRDefault="008F5F09">
      <w:pPr>
        <w:pStyle w:val="GvdeMetni"/>
        <w:spacing w:before="8"/>
        <w:rPr>
          <w:noProof/>
          <w:lang w:val="tr-TR"/>
        </w:rPr>
      </w:pPr>
    </w:p>
    <w:p w:rsidR="008F5F09" w:rsidRPr="00793123" w:rsidRDefault="00F52390">
      <w:pPr>
        <w:pStyle w:val="Balk1"/>
        <w:numPr>
          <w:ilvl w:val="1"/>
          <w:numId w:val="2"/>
        </w:numPr>
        <w:tabs>
          <w:tab w:val="left" w:pos="1011"/>
          <w:tab w:val="left" w:pos="1012"/>
        </w:tabs>
        <w:ind w:hanging="541"/>
        <w:rPr>
          <w:noProof/>
          <w:lang w:val="tr-TR"/>
        </w:rPr>
      </w:pPr>
      <w:bookmarkStart w:id="6" w:name="_bookmark5"/>
      <w:bookmarkEnd w:id="6"/>
      <w:r w:rsidRPr="00793123">
        <w:rPr>
          <w:noProof/>
          <w:color w:val="003E6C"/>
          <w:w w:val="90"/>
          <w:lang w:val="tr-TR"/>
        </w:rPr>
        <w:t xml:space="preserve">Belirli Hizmet Sağlayıcılarla Çalışılması </w:t>
      </w:r>
    </w:p>
    <w:p w:rsidR="008F5F09" w:rsidRPr="00793123" w:rsidRDefault="008F5F09">
      <w:pPr>
        <w:pStyle w:val="GvdeMetni"/>
        <w:spacing w:before="3"/>
        <w:rPr>
          <w:b/>
          <w:noProof/>
          <w:sz w:val="28"/>
          <w:lang w:val="tr-TR"/>
        </w:rPr>
      </w:pPr>
    </w:p>
    <w:p w:rsidR="008F5F09" w:rsidRPr="00793123" w:rsidRDefault="00B87C6F" w:rsidP="00B87C6F">
      <w:pPr>
        <w:pStyle w:val="GvdeMetni"/>
        <w:spacing w:line="288" w:lineRule="auto"/>
        <w:ind w:left="471"/>
        <w:jc w:val="both"/>
        <w:rPr>
          <w:noProof/>
          <w:lang w:val="tr-TR"/>
        </w:rPr>
      </w:pPr>
      <w:r w:rsidRPr="00793123">
        <w:rPr>
          <w:noProof/>
          <w:w w:val="90"/>
          <w:lang w:val="tr-TR"/>
        </w:rPr>
        <w:t xml:space="preserve">Linde adına hareket eden üçüncü taraf işletmelerin, danışmanların veya diğer üçüncü taraf temsilcilerin (hep birlikte "Hizmet Sağlayıcılar") Linde hesabına uygun olmayan ödemeler yapması yasaktır. Bu yasak aynı zamanda, Hizmet Sağlayıcılar tarafından Linde adına iş yapmak üzere tutulan alt yükleniciler için de geçerlidir. </w:t>
      </w:r>
    </w:p>
    <w:p w:rsidR="008F5F09" w:rsidRPr="00793123" w:rsidRDefault="008F5F09">
      <w:pPr>
        <w:pStyle w:val="GvdeMetni"/>
        <w:spacing w:before="4"/>
        <w:rPr>
          <w:noProof/>
          <w:sz w:val="24"/>
          <w:lang w:val="tr-TR"/>
        </w:rPr>
      </w:pPr>
    </w:p>
    <w:p w:rsidR="008F5F09" w:rsidRPr="00793123" w:rsidRDefault="00B87C6F" w:rsidP="00B87C6F">
      <w:pPr>
        <w:pStyle w:val="GvdeMetni"/>
        <w:spacing w:line="290" w:lineRule="auto"/>
        <w:ind w:left="471"/>
        <w:jc w:val="both"/>
        <w:rPr>
          <w:noProof/>
          <w:lang w:val="tr-TR"/>
        </w:rPr>
      </w:pPr>
      <w:r w:rsidRPr="00793123">
        <w:rPr>
          <w:noProof/>
          <w:w w:val="90"/>
          <w:lang w:val="tr-TR"/>
        </w:rPr>
        <w:t>Komisyonlar, tazminatlar ve geri ödemeler de dâhil olmak üzere Hizmet Sağlayıcılara yapılan tüm ödemeler, sağlanan hizmetlere istinaden makul olmalı, şirketin defter ve kayıtlarına doğru bir şekilde işlenmelidir</w:t>
      </w:r>
      <w:r w:rsidR="00A52476" w:rsidRPr="00793123">
        <w:rPr>
          <w:noProof/>
          <w:lang w:val="tr-TR"/>
        </w:rPr>
        <w:t>.</w:t>
      </w:r>
    </w:p>
    <w:p w:rsidR="008F5F09" w:rsidRPr="00793123" w:rsidRDefault="008F5F09">
      <w:pPr>
        <w:pStyle w:val="GvdeMetni"/>
        <w:rPr>
          <w:noProof/>
          <w:sz w:val="24"/>
          <w:lang w:val="tr-TR"/>
        </w:rPr>
      </w:pPr>
    </w:p>
    <w:p w:rsidR="008F5F09" w:rsidRPr="00793123" w:rsidRDefault="00B87C6F" w:rsidP="00B87C6F">
      <w:pPr>
        <w:pStyle w:val="GvdeMetni"/>
        <w:spacing w:line="290" w:lineRule="auto"/>
        <w:ind w:left="471" w:right="180"/>
        <w:jc w:val="both"/>
        <w:rPr>
          <w:noProof/>
          <w:lang w:val="tr-TR"/>
        </w:rPr>
      </w:pPr>
      <w:r w:rsidRPr="00793123">
        <w:rPr>
          <w:i/>
          <w:noProof/>
          <w:w w:val="90"/>
          <w:lang w:val="tr-TR"/>
        </w:rPr>
        <w:t>Belirli Hizmet Sağlayıcılarla Çalışılmasına İlişkin Küresel Politikada</w:t>
      </w:r>
      <w:r w:rsidRPr="00793123">
        <w:rPr>
          <w:noProof/>
          <w:w w:val="90"/>
          <w:lang w:val="tr-TR"/>
        </w:rPr>
        <w:t xml:space="preserve"> ada açıklandığı üzere, Linde adına Devlet Memurları veya kuruluşlarıyla etkileşimde bulunan Hizmet Sağlayıcılar, Linde adına çalışmaya başlamadan önce bir ön durum tespiti sürecinden geçmelidir. Bir Hizmet Sağlayıcının durum tespiti incelemesi sırasında ortaya çıkan muhtemel olumsuz bulgular, Hizmet Sağlayıcı ile ilişkiye girmeden önce incelenmeli ve ele alınmalıdır.</w:t>
      </w:r>
    </w:p>
    <w:p w:rsidR="008F5F09" w:rsidRPr="00793123" w:rsidRDefault="008F5F09">
      <w:pPr>
        <w:spacing w:line="290" w:lineRule="auto"/>
        <w:rPr>
          <w:noProof/>
          <w:lang w:val="tr-TR"/>
        </w:rPr>
        <w:sectPr w:rsidR="008F5F09" w:rsidRPr="00793123">
          <w:pgSz w:w="11910" w:h="16840"/>
          <w:pgMar w:top="2080" w:right="1300" w:bottom="1400" w:left="1300" w:header="567" w:footer="1201" w:gutter="0"/>
          <w:cols w:space="708"/>
        </w:sect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spacing w:before="6"/>
        <w:rPr>
          <w:noProof/>
          <w:sz w:val="27"/>
          <w:lang w:val="tr-TR"/>
        </w:rPr>
      </w:pPr>
    </w:p>
    <w:p w:rsidR="008F5F09" w:rsidRPr="00793123" w:rsidRDefault="00B87C6F" w:rsidP="00B87C6F">
      <w:pPr>
        <w:spacing w:before="65" w:line="288" w:lineRule="auto"/>
        <w:ind w:left="471"/>
        <w:jc w:val="both"/>
        <w:rPr>
          <w:noProof/>
          <w:sz w:val="20"/>
          <w:lang w:val="tr-TR"/>
        </w:rPr>
      </w:pPr>
      <w:r w:rsidRPr="00793123">
        <w:rPr>
          <w:noProof/>
          <w:w w:val="90"/>
          <w:sz w:val="20"/>
          <w:lang w:val="tr-TR"/>
        </w:rPr>
        <w:t xml:space="preserve">Bir Hizmet Sağlayıcı Linde tarafından işe alındıktan sonra, geçerli yasalara ve ilgili Linde politikalarına uygunluğun devamını sağlamak için, Hizmet Sağlayıcının faaliyetleri ve harcamaları </w:t>
      </w:r>
      <w:r w:rsidRPr="00793123">
        <w:rPr>
          <w:i/>
          <w:noProof/>
          <w:w w:val="90"/>
          <w:sz w:val="20"/>
          <w:szCs w:val="20"/>
          <w:lang w:val="tr-TR"/>
        </w:rPr>
        <w:t>Belirli Hizmet Sağlayıcılarla Çalışılmasına İlişkin Küresel Politika</w:t>
      </w:r>
      <w:r w:rsidRPr="00793123">
        <w:rPr>
          <w:noProof/>
          <w:w w:val="90"/>
          <w:sz w:val="20"/>
          <w:lang w:val="tr-TR"/>
        </w:rPr>
        <w:t xml:space="preserve"> uyarınca izlenmelidir.</w:t>
      </w:r>
    </w:p>
    <w:p w:rsidR="008F5F09" w:rsidRPr="00793123" w:rsidRDefault="008F5F09">
      <w:pPr>
        <w:pStyle w:val="GvdeMetni"/>
        <w:spacing w:before="3"/>
        <w:rPr>
          <w:noProof/>
          <w:sz w:val="24"/>
          <w:lang w:val="tr-TR"/>
        </w:rPr>
      </w:pPr>
    </w:p>
    <w:p w:rsidR="008F5F09" w:rsidRPr="00793123" w:rsidRDefault="00002712" w:rsidP="00B87C6F">
      <w:pPr>
        <w:pStyle w:val="GvdeMetni"/>
        <w:spacing w:line="290" w:lineRule="auto"/>
        <w:ind w:left="471" w:right="-46"/>
        <w:jc w:val="both"/>
        <w:rPr>
          <w:noProof/>
          <w:lang w:val="tr-TR"/>
        </w:rPr>
      </w:pPr>
      <w:r w:rsidRPr="00793123">
        <w:rPr>
          <w:noProof/>
          <w:w w:val="90"/>
          <w:lang w:val="tr-TR"/>
        </w:rPr>
        <w:t>Bir Hizmet Sağlayıcının uygunsuz veya şüpheli bir ödeme yaptığına veya yapacağına dair şüpheniz varsa, Hizmet Sağlayıcıya ödemeyi reddedin, uyum görevlinize veya atanmış hukuk müşavirine durumu derhal bildirin.</w:t>
      </w:r>
    </w:p>
    <w:p w:rsidR="008F5F09" w:rsidRPr="00793123" w:rsidRDefault="008F5F09">
      <w:pPr>
        <w:pStyle w:val="GvdeMetni"/>
        <w:spacing w:before="3"/>
        <w:rPr>
          <w:noProof/>
          <w:sz w:val="21"/>
          <w:lang w:val="tr-TR"/>
        </w:rPr>
      </w:pPr>
    </w:p>
    <w:p w:rsidR="008F5F09" w:rsidRPr="00793123" w:rsidRDefault="00002712">
      <w:pPr>
        <w:pStyle w:val="Balk1"/>
        <w:numPr>
          <w:ilvl w:val="1"/>
          <w:numId w:val="2"/>
        </w:numPr>
        <w:tabs>
          <w:tab w:val="left" w:pos="1011"/>
          <w:tab w:val="left" w:pos="1012"/>
        </w:tabs>
        <w:ind w:hanging="541"/>
        <w:rPr>
          <w:noProof/>
          <w:lang w:val="tr-TR"/>
        </w:rPr>
      </w:pPr>
      <w:bookmarkStart w:id="7" w:name="_bookmark6"/>
      <w:bookmarkEnd w:id="7"/>
      <w:r w:rsidRPr="00793123">
        <w:rPr>
          <w:noProof/>
          <w:color w:val="003E6C"/>
          <w:lang w:val="tr-TR"/>
        </w:rPr>
        <w:t>Eğitim</w:t>
      </w:r>
    </w:p>
    <w:p w:rsidR="008F5F09" w:rsidRPr="00793123" w:rsidRDefault="008F5F09">
      <w:pPr>
        <w:pStyle w:val="GvdeMetni"/>
        <w:spacing w:before="3"/>
        <w:rPr>
          <w:b/>
          <w:noProof/>
          <w:sz w:val="28"/>
          <w:lang w:val="tr-TR"/>
        </w:rPr>
      </w:pPr>
    </w:p>
    <w:p w:rsidR="008F5F09" w:rsidRPr="00793123" w:rsidRDefault="00002712" w:rsidP="00002712">
      <w:pPr>
        <w:pStyle w:val="GvdeMetni"/>
        <w:spacing w:line="288" w:lineRule="auto"/>
        <w:ind w:left="471" w:right="-46"/>
        <w:jc w:val="both"/>
        <w:rPr>
          <w:noProof/>
          <w:lang w:val="tr-TR"/>
        </w:rPr>
      </w:pPr>
      <w:r w:rsidRPr="00793123">
        <w:rPr>
          <w:noProof/>
          <w:w w:val="90"/>
          <w:lang w:val="tr-TR"/>
        </w:rPr>
        <w:t>Uygun çalışanların, rüşveti ve yolsuzluğu önleme eğitimini uyum şefi tarafından belirlenen sıklıkta tamamlaması Linde tarafından şart koşulur. İstenen eğitim çevrimiçi ve/veya yüz yüze eğitimi içerebilir.</w:t>
      </w:r>
    </w:p>
    <w:p w:rsidR="008F5F09" w:rsidRPr="00793123" w:rsidRDefault="008F5F09">
      <w:pPr>
        <w:pStyle w:val="GvdeMetni"/>
        <w:spacing w:before="9"/>
        <w:rPr>
          <w:noProof/>
          <w:sz w:val="21"/>
          <w:lang w:val="tr-TR"/>
        </w:rPr>
      </w:pPr>
    </w:p>
    <w:p w:rsidR="008F5F09" w:rsidRPr="00793123" w:rsidRDefault="00002712">
      <w:pPr>
        <w:pStyle w:val="Balk1"/>
        <w:numPr>
          <w:ilvl w:val="1"/>
          <w:numId w:val="2"/>
        </w:numPr>
        <w:tabs>
          <w:tab w:val="left" w:pos="1012"/>
        </w:tabs>
        <w:ind w:hanging="541"/>
        <w:rPr>
          <w:noProof/>
          <w:lang w:val="tr-TR"/>
        </w:rPr>
      </w:pPr>
      <w:bookmarkStart w:id="8" w:name="_bookmark7"/>
      <w:bookmarkEnd w:id="8"/>
      <w:r w:rsidRPr="00793123">
        <w:rPr>
          <w:noProof/>
          <w:color w:val="003E6C"/>
          <w:lang w:val="tr-TR"/>
        </w:rPr>
        <w:t xml:space="preserve">Denetimler </w:t>
      </w:r>
    </w:p>
    <w:p w:rsidR="008F5F09" w:rsidRPr="00793123" w:rsidRDefault="008F5F09">
      <w:pPr>
        <w:pStyle w:val="GvdeMetni"/>
        <w:spacing w:before="1"/>
        <w:rPr>
          <w:b/>
          <w:noProof/>
          <w:sz w:val="28"/>
          <w:lang w:val="tr-TR"/>
        </w:rPr>
      </w:pPr>
    </w:p>
    <w:p w:rsidR="008F5F09" w:rsidRPr="00793123" w:rsidRDefault="00002712" w:rsidP="00002712">
      <w:pPr>
        <w:pStyle w:val="GvdeMetni"/>
        <w:spacing w:line="288" w:lineRule="auto"/>
        <w:ind w:left="471" w:right="96"/>
        <w:jc w:val="both"/>
        <w:rPr>
          <w:noProof/>
          <w:lang w:val="tr-TR"/>
        </w:rPr>
      </w:pPr>
      <w:r w:rsidRPr="00793123">
        <w:rPr>
          <w:noProof/>
          <w:w w:val="90"/>
          <w:lang w:val="tr-TR"/>
        </w:rPr>
        <w:t xml:space="preserve">Linde, şirketin yürürlükteki rüşvet ve yolsuzlukla mücadele yasalarına, bu </w:t>
      </w:r>
      <w:r w:rsidRPr="00793123">
        <w:rPr>
          <w:i/>
          <w:noProof/>
          <w:w w:val="90"/>
          <w:lang w:val="tr-TR"/>
        </w:rPr>
        <w:t>ABAC Politikasına</w:t>
      </w:r>
      <w:r w:rsidRPr="00793123">
        <w:rPr>
          <w:noProof/>
          <w:w w:val="90"/>
          <w:lang w:val="tr-TR"/>
        </w:rPr>
        <w:t xml:space="preserve"> ve diğer ilgili politikalara sürekli olarak uygun hareket etmesini sağlamaya yardımcı olmak için dönemsel iç denetimler gerçekleştirir. Tüm çalışanlar bu denetimlerin ve/veya soruşturmaların yürütülmesinde işbirliği yapmalıdır</w:t>
      </w:r>
      <w:r w:rsidR="00A52476" w:rsidRPr="00793123">
        <w:rPr>
          <w:noProof/>
          <w:w w:val="90"/>
          <w:lang w:val="tr-TR"/>
        </w:rPr>
        <w:t>.</w:t>
      </w:r>
    </w:p>
    <w:p w:rsidR="008F5F09" w:rsidRPr="00793123" w:rsidRDefault="008F5F09">
      <w:pPr>
        <w:pStyle w:val="GvdeMetni"/>
        <w:spacing w:before="9"/>
        <w:rPr>
          <w:noProof/>
          <w:sz w:val="21"/>
          <w:lang w:val="tr-TR"/>
        </w:rPr>
      </w:pPr>
    </w:p>
    <w:p w:rsidR="008F5F09" w:rsidRPr="00793123" w:rsidRDefault="00002712">
      <w:pPr>
        <w:pStyle w:val="Balk1"/>
        <w:numPr>
          <w:ilvl w:val="1"/>
          <w:numId w:val="2"/>
        </w:numPr>
        <w:tabs>
          <w:tab w:val="left" w:pos="1011"/>
          <w:tab w:val="left" w:pos="1012"/>
        </w:tabs>
        <w:spacing w:before="1"/>
        <w:ind w:hanging="541"/>
        <w:rPr>
          <w:noProof/>
          <w:lang w:val="tr-TR"/>
        </w:rPr>
      </w:pPr>
      <w:bookmarkStart w:id="9" w:name="_bookmark8"/>
      <w:bookmarkEnd w:id="9"/>
      <w:r w:rsidRPr="00793123">
        <w:rPr>
          <w:noProof/>
          <w:color w:val="003E6C"/>
          <w:w w:val="90"/>
          <w:lang w:val="tr-TR"/>
        </w:rPr>
        <w:t>Yürürlük Tarihi</w:t>
      </w:r>
    </w:p>
    <w:p w:rsidR="008F5F09" w:rsidRPr="00793123" w:rsidRDefault="008F5F09">
      <w:pPr>
        <w:pStyle w:val="GvdeMetni"/>
        <w:rPr>
          <w:b/>
          <w:noProof/>
          <w:sz w:val="28"/>
          <w:lang w:val="tr-TR"/>
        </w:rPr>
      </w:pPr>
    </w:p>
    <w:p w:rsidR="008F5F09" w:rsidRPr="00793123" w:rsidRDefault="00002712">
      <w:pPr>
        <w:pStyle w:val="GvdeMetni"/>
        <w:ind w:left="471"/>
        <w:jc w:val="both"/>
        <w:rPr>
          <w:noProof/>
          <w:lang w:val="tr-TR"/>
        </w:rPr>
      </w:pPr>
      <w:r w:rsidRPr="00793123">
        <w:rPr>
          <w:noProof/>
          <w:w w:val="90"/>
          <w:lang w:val="tr-TR"/>
        </w:rPr>
        <w:t xml:space="preserve">Bu politika, 2021 yılı Nisan ayından itibaren yürürlüğe girer. </w:t>
      </w:r>
      <w:r w:rsidR="00A52476" w:rsidRPr="00793123">
        <w:rPr>
          <w:noProof/>
          <w:spacing w:val="-11"/>
          <w:w w:val="90"/>
          <w:lang w:val="tr-TR"/>
        </w:rPr>
        <w:t xml:space="preserve"> </w:t>
      </w:r>
    </w:p>
    <w:p w:rsidR="008F5F09" w:rsidRPr="00793123" w:rsidRDefault="008F5F09">
      <w:pPr>
        <w:jc w:val="both"/>
        <w:rPr>
          <w:noProof/>
          <w:lang w:val="tr-TR"/>
        </w:rPr>
        <w:sectPr w:rsidR="008F5F09" w:rsidRPr="00793123">
          <w:pgSz w:w="11910" w:h="16840"/>
          <w:pgMar w:top="2080" w:right="1300" w:bottom="1400" w:left="1300" w:header="567" w:footer="1201" w:gutter="0"/>
          <w:cols w:space="708"/>
        </w:sect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002712">
      <w:pPr>
        <w:pStyle w:val="Balk1"/>
        <w:spacing w:before="228"/>
        <w:ind w:left="471" w:firstLine="0"/>
        <w:rPr>
          <w:noProof/>
          <w:lang w:val="tr-TR"/>
        </w:rPr>
      </w:pPr>
      <w:bookmarkStart w:id="10" w:name="_bookmark9"/>
      <w:bookmarkEnd w:id="10"/>
      <w:r w:rsidRPr="00793123">
        <w:rPr>
          <w:noProof/>
          <w:color w:val="003E6C"/>
          <w:lang w:val="tr-TR"/>
        </w:rPr>
        <w:t>Ek</w:t>
      </w:r>
      <w:r w:rsidR="00A52476" w:rsidRPr="00793123">
        <w:rPr>
          <w:noProof/>
          <w:color w:val="003E6C"/>
          <w:lang w:val="tr-TR"/>
        </w:rPr>
        <w:t>:</w:t>
      </w:r>
    </w:p>
    <w:p w:rsidR="008F5F09" w:rsidRPr="00793123" w:rsidRDefault="008F5F09">
      <w:pPr>
        <w:pStyle w:val="GvdeMetni"/>
        <w:spacing w:before="1"/>
        <w:rPr>
          <w:b/>
          <w:noProof/>
          <w:sz w:val="21"/>
          <w:lang w:val="tr-TR"/>
        </w:rPr>
      </w:pPr>
    </w:p>
    <w:p w:rsidR="008F5F09" w:rsidRPr="00793123" w:rsidRDefault="00002712" w:rsidP="00002712">
      <w:pPr>
        <w:spacing w:before="52"/>
        <w:ind w:left="3119" w:right="2222"/>
        <w:jc w:val="center"/>
        <w:rPr>
          <w:b/>
          <w:noProof/>
          <w:sz w:val="28"/>
          <w:lang w:val="tr-TR"/>
        </w:rPr>
      </w:pPr>
      <w:r w:rsidRPr="00793123">
        <w:rPr>
          <w:b/>
          <w:noProof/>
          <w:color w:val="003E6C"/>
          <w:w w:val="85"/>
          <w:sz w:val="28"/>
          <w:lang w:val="tr-TR"/>
        </w:rPr>
        <w:t xml:space="preserve">Sizi İlgilendiren </w:t>
      </w:r>
      <w:r w:rsidR="00A52476" w:rsidRPr="00793123">
        <w:rPr>
          <w:b/>
          <w:noProof/>
          <w:color w:val="003E6C"/>
          <w:w w:val="85"/>
          <w:sz w:val="28"/>
          <w:lang w:val="tr-TR"/>
        </w:rPr>
        <w:t>10</w:t>
      </w:r>
      <w:r w:rsidR="00A52476" w:rsidRPr="00793123">
        <w:rPr>
          <w:b/>
          <w:noProof/>
          <w:color w:val="003E6C"/>
          <w:spacing w:val="9"/>
          <w:w w:val="85"/>
          <w:sz w:val="28"/>
          <w:lang w:val="tr-TR"/>
        </w:rPr>
        <w:t xml:space="preserve"> </w:t>
      </w:r>
      <w:r w:rsidRPr="00793123">
        <w:rPr>
          <w:b/>
          <w:noProof/>
          <w:color w:val="003E6C"/>
          <w:w w:val="85"/>
          <w:sz w:val="28"/>
          <w:lang w:val="tr-TR"/>
        </w:rPr>
        <w:t>Temel Prensip</w:t>
      </w:r>
    </w:p>
    <w:p w:rsidR="008F5F09" w:rsidRPr="00793123" w:rsidRDefault="008F5F09">
      <w:pPr>
        <w:pStyle w:val="GvdeMetni"/>
        <w:spacing w:before="2"/>
        <w:rPr>
          <w:b/>
          <w:noProof/>
          <w:sz w:val="19"/>
          <w:lang w:val="tr-TR"/>
        </w:rPr>
      </w:pPr>
    </w:p>
    <w:p w:rsidR="008F5F09" w:rsidRPr="00793123" w:rsidRDefault="008F5F09">
      <w:pPr>
        <w:rPr>
          <w:noProof/>
          <w:sz w:val="19"/>
          <w:lang w:val="tr-TR"/>
        </w:rPr>
        <w:sectPr w:rsidR="008F5F09" w:rsidRPr="00793123">
          <w:headerReference w:type="default" r:id="rId9"/>
          <w:footerReference w:type="default" r:id="rId10"/>
          <w:pgSz w:w="11910" w:h="16840"/>
          <w:pgMar w:top="2080" w:right="1300" w:bottom="280" w:left="1300" w:header="567" w:footer="0" w:gutter="0"/>
          <w:cols w:space="708"/>
        </w:sectPr>
      </w:pPr>
    </w:p>
    <w:p w:rsidR="008F5F09" w:rsidRPr="00793123" w:rsidRDefault="00002712" w:rsidP="00002712">
      <w:pPr>
        <w:pStyle w:val="ListeParagraf"/>
        <w:numPr>
          <w:ilvl w:val="0"/>
          <w:numId w:val="1"/>
        </w:numPr>
        <w:tabs>
          <w:tab w:val="left" w:pos="1192"/>
        </w:tabs>
        <w:spacing w:before="69" w:line="242" w:lineRule="auto"/>
        <w:ind w:right="42"/>
        <w:jc w:val="both"/>
        <w:rPr>
          <w:noProof/>
          <w:sz w:val="20"/>
          <w:lang w:val="tr-TR"/>
        </w:rPr>
      </w:pPr>
      <w:r w:rsidRPr="00793123">
        <w:rPr>
          <w:noProof/>
          <w:w w:val="90"/>
          <w:sz w:val="20"/>
          <w:lang w:val="tr-TR"/>
        </w:rPr>
        <w:t>Ticari faaliyetler dürüstlükle ve Linde'nin değerlerine uygun olarak yürütülmelidir</w:t>
      </w:r>
      <w:r w:rsidR="00A52476" w:rsidRPr="00793123">
        <w:rPr>
          <w:noProof/>
          <w:w w:val="90"/>
          <w:sz w:val="20"/>
          <w:lang w:val="tr-TR"/>
        </w:rPr>
        <w:t>.</w:t>
      </w:r>
    </w:p>
    <w:p w:rsidR="008F5F09" w:rsidRPr="00793123" w:rsidRDefault="008F5F09">
      <w:pPr>
        <w:pStyle w:val="GvdeMetni"/>
        <w:spacing w:before="8"/>
        <w:rPr>
          <w:noProof/>
          <w:sz w:val="21"/>
          <w:lang w:val="tr-TR"/>
        </w:rPr>
      </w:pPr>
    </w:p>
    <w:p w:rsidR="008F5F09" w:rsidRPr="00793123" w:rsidRDefault="00002712" w:rsidP="00002712">
      <w:pPr>
        <w:pStyle w:val="ListeParagraf"/>
        <w:numPr>
          <w:ilvl w:val="0"/>
          <w:numId w:val="1"/>
        </w:numPr>
        <w:tabs>
          <w:tab w:val="left" w:pos="1192"/>
        </w:tabs>
        <w:spacing w:line="247" w:lineRule="auto"/>
        <w:ind w:right="38"/>
        <w:jc w:val="both"/>
        <w:rPr>
          <w:noProof/>
          <w:sz w:val="20"/>
          <w:lang w:val="tr-TR"/>
        </w:rPr>
      </w:pPr>
      <w:r w:rsidRPr="00793123">
        <w:rPr>
          <w:noProof/>
          <w:w w:val="90"/>
          <w:sz w:val="20"/>
          <w:lang w:val="tr-TR"/>
        </w:rPr>
        <w:t xml:space="preserve">Uygunluk şartları dünya çapındaki tüm Linde Çalışanları ve kuruluşları ile Linde adına hareket eden Linde temsilcileri, danışmanları ve Hizmet Sağlayıcıları için geçerlidir. </w:t>
      </w:r>
    </w:p>
    <w:p w:rsidR="008F5F09" w:rsidRPr="00793123" w:rsidRDefault="008F5F09">
      <w:pPr>
        <w:pStyle w:val="GvdeMetni"/>
        <w:spacing w:before="11"/>
        <w:rPr>
          <w:noProof/>
          <w:lang w:val="tr-TR"/>
        </w:rPr>
      </w:pPr>
    </w:p>
    <w:p w:rsidR="008F5F09" w:rsidRPr="00793123" w:rsidRDefault="00A52476" w:rsidP="00A52476">
      <w:pPr>
        <w:pStyle w:val="ListeParagraf"/>
        <w:numPr>
          <w:ilvl w:val="0"/>
          <w:numId w:val="1"/>
        </w:numPr>
        <w:tabs>
          <w:tab w:val="left" w:pos="1192"/>
        </w:tabs>
        <w:spacing w:line="244" w:lineRule="auto"/>
        <w:ind w:right="39"/>
        <w:jc w:val="both"/>
        <w:rPr>
          <w:noProof/>
          <w:sz w:val="20"/>
          <w:lang w:val="tr-TR"/>
        </w:rPr>
      </w:pPr>
      <w:r w:rsidRPr="00793123">
        <w:rPr>
          <w:noProof/>
          <w:w w:val="95"/>
          <w:sz w:val="20"/>
          <w:lang w:val="tr-TR"/>
        </w:rPr>
        <w:t>İster kamuda ister özel sektörde olsun, rüşvet veya yolsuzluğa müsamaha gösterilmeyecektir. Uygunsuzluk izlenimi verebilecek her şeyden kaçınılmalıdır</w:t>
      </w:r>
      <w:r w:rsidRPr="00793123">
        <w:rPr>
          <w:noProof/>
          <w:w w:val="90"/>
          <w:sz w:val="20"/>
          <w:lang w:val="tr-TR"/>
        </w:rPr>
        <w:t>.</w:t>
      </w:r>
    </w:p>
    <w:p w:rsidR="008F5F09" w:rsidRPr="00793123" w:rsidRDefault="008F5F09">
      <w:pPr>
        <w:pStyle w:val="GvdeMetni"/>
        <w:spacing w:before="5"/>
        <w:rPr>
          <w:noProof/>
          <w:sz w:val="21"/>
          <w:lang w:val="tr-TR"/>
        </w:rPr>
      </w:pPr>
    </w:p>
    <w:p w:rsidR="008F5F09" w:rsidRPr="00793123" w:rsidRDefault="00A52476" w:rsidP="00A52476">
      <w:pPr>
        <w:pStyle w:val="ListeParagraf"/>
        <w:numPr>
          <w:ilvl w:val="0"/>
          <w:numId w:val="1"/>
        </w:numPr>
        <w:tabs>
          <w:tab w:val="left" w:pos="1192"/>
        </w:tabs>
        <w:spacing w:line="247" w:lineRule="auto"/>
        <w:ind w:right="38"/>
        <w:jc w:val="both"/>
        <w:rPr>
          <w:noProof/>
          <w:sz w:val="20"/>
          <w:lang w:val="tr-TR"/>
        </w:rPr>
      </w:pPr>
      <w:r w:rsidRPr="00793123">
        <w:rPr>
          <w:noProof/>
          <w:w w:val="95"/>
          <w:sz w:val="20"/>
          <w:lang w:val="tr-TR"/>
        </w:rPr>
        <w:t>Rüşvet, uygun olmayan hediyeler, ağırlamalar veya iş teklifleri dâhil olmak üzere farklı biçimlerde olabilir, kısacası “değerli herhangi bir şey” olabilir.</w:t>
      </w:r>
    </w:p>
    <w:p w:rsidR="008F5F09" w:rsidRPr="00793123" w:rsidRDefault="008F5F09">
      <w:pPr>
        <w:pStyle w:val="GvdeMetni"/>
        <w:spacing w:before="7"/>
        <w:rPr>
          <w:noProof/>
          <w:lang w:val="tr-TR"/>
        </w:rPr>
      </w:pPr>
    </w:p>
    <w:p w:rsidR="008F5F09" w:rsidRPr="00793123" w:rsidRDefault="00A52476" w:rsidP="00A52476">
      <w:pPr>
        <w:pStyle w:val="ListeParagraf"/>
        <w:numPr>
          <w:ilvl w:val="0"/>
          <w:numId w:val="1"/>
        </w:numPr>
        <w:tabs>
          <w:tab w:val="left" w:pos="1192"/>
        </w:tabs>
        <w:spacing w:before="1" w:line="244" w:lineRule="auto"/>
        <w:ind w:right="38"/>
        <w:jc w:val="both"/>
        <w:rPr>
          <w:noProof/>
          <w:sz w:val="20"/>
          <w:lang w:val="tr-TR"/>
        </w:rPr>
      </w:pPr>
      <w:r w:rsidRPr="00793123">
        <w:rPr>
          <w:noProof/>
          <w:w w:val="90"/>
          <w:sz w:val="20"/>
          <w:lang w:val="tr-TR"/>
        </w:rPr>
        <w:t>Bir şey görürseniz sesinizi çıkarın! Sağlanan avantajlar, yapılan veya yapılacak ödemelerle ilgili endişe uyandıran olumsuz bulgulara karşı dikkatli olun.</w:t>
      </w:r>
    </w:p>
    <w:p w:rsidR="008F5F09" w:rsidRPr="00793123" w:rsidRDefault="008F5F09">
      <w:pPr>
        <w:pStyle w:val="GvdeMetni"/>
        <w:spacing w:before="5"/>
        <w:rPr>
          <w:noProof/>
          <w:sz w:val="21"/>
          <w:lang w:val="tr-TR"/>
        </w:rPr>
      </w:pPr>
    </w:p>
    <w:p w:rsidR="008F5F09" w:rsidRPr="00793123" w:rsidRDefault="00A52476" w:rsidP="00A52476">
      <w:pPr>
        <w:pStyle w:val="ListeParagraf"/>
        <w:numPr>
          <w:ilvl w:val="0"/>
          <w:numId w:val="1"/>
        </w:numPr>
        <w:tabs>
          <w:tab w:val="left" w:pos="1192"/>
        </w:tabs>
        <w:spacing w:line="242" w:lineRule="auto"/>
        <w:ind w:right="42"/>
        <w:jc w:val="both"/>
        <w:rPr>
          <w:noProof/>
          <w:sz w:val="20"/>
          <w:lang w:val="tr-TR"/>
        </w:rPr>
      </w:pPr>
      <w:r w:rsidRPr="00793123">
        <w:rPr>
          <w:noProof/>
          <w:w w:val="90"/>
          <w:sz w:val="20"/>
          <w:lang w:val="tr-TR"/>
        </w:rPr>
        <w:t xml:space="preserve">İşlemlerin geçerli yolsuzlukla mücadele yasalarına uygun olarak yürütüldüğüne dair makul güvence </w:t>
      </w:r>
    </w:p>
    <w:p w:rsidR="008F5F09" w:rsidRPr="00793123" w:rsidRDefault="00A52476" w:rsidP="00A52476">
      <w:pPr>
        <w:pStyle w:val="GvdeMetni"/>
        <w:spacing w:before="65" w:line="249" w:lineRule="auto"/>
        <w:ind w:left="1191" w:right="19"/>
        <w:jc w:val="both"/>
        <w:rPr>
          <w:noProof/>
          <w:lang w:val="tr-TR"/>
        </w:rPr>
      </w:pPr>
      <w:r w:rsidRPr="00793123">
        <w:rPr>
          <w:noProof/>
          <w:lang w:val="tr-TR"/>
        </w:rPr>
        <w:br w:type="column"/>
      </w:r>
      <w:r w:rsidRPr="00793123">
        <w:rPr>
          <w:noProof/>
          <w:w w:val="90"/>
          <w:lang w:val="tr-TR"/>
        </w:rPr>
        <w:t xml:space="preserve">vermek için, iç muhasebe kontrollerini </w:t>
      </w:r>
      <w:r w:rsidR="00D87B04" w:rsidRPr="00793123">
        <w:rPr>
          <w:noProof/>
          <w:w w:val="90"/>
          <w:lang w:val="tr-TR"/>
        </w:rPr>
        <w:t>sürdürün, kayıtları</w:t>
      </w:r>
      <w:r w:rsidRPr="00793123">
        <w:rPr>
          <w:noProof/>
          <w:w w:val="90"/>
          <w:lang w:val="tr-TR"/>
        </w:rPr>
        <w:t xml:space="preserve"> </w:t>
      </w:r>
      <w:r w:rsidR="00D87B04" w:rsidRPr="00793123">
        <w:rPr>
          <w:noProof/>
          <w:w w:val="90"/>
          <w:lang w:val="tr-TR"/>
        </w:rPr>
        <w:t>gerçeğe uygun</w:t>
      </w:r>
      <w:r w:rsidRPr="00793123">
        <w:rPr>
          <w:noProof/>
          <w:w w:val="90"/>
          <w:lang w:val="tr-TR"/>
        </w:rPr>
        <w:t xml:space="preserve"> ve doğru </w:t>
      </w:r>
      <w:r w:rsidR="00D87B04" w:rsidRPr="00793123">
        <w:rPr>
          <w:noProof/>
          <w:w w:val="90"/>
          <w:lang w:val="tr-TR"/>
        </w:rPr>
        <w:t xml:space="preserve">tutun </w:t>
      </w:r>
      <w:r w:rsidRPr="00793123">
        <w:rPr>
          <w:noProof/>
          <w:w w:val="90"/>
          <w:lang w:val="tr-TR"/>
        </w:rPr>
        <w:t xml:space="preserve">(makul ölçüde </w:t>
      </w:r>
      <w:r w:rsidR="00D87B04" w:rsidRPr="00793123">
        <w:rPr>
          <w:noProof/>
          <w:w w:val="90"/>
          <w:lang w:val="tr-TR"/>
        </w:rPr>
        <w:t xml:space="preserve">ayrıntı içeren </w:t>
      </w:r>
      <w:r w:rsidRPr="00793123">
        <w:rPr>
          <w:noProof/>
          <w:w w:val="90"/>
          <w:lang w:val="tr-TR"/>
        </w:rPr>
        <w:t xml:space="preserve">gider raporları </w:t>
      </w:r>
      <w:r w:rsidR="00D87B04" w:rsidRPr="00793123">
        <w:rPr>
          <w:noProof/>
          <w:w w:val="90"/>
          <w:lang w:val="tr-TR"/>
        </w:rPr>
        <w:t>dâhil)</w:t>
      </w:r>
      <w:r w:rsidRPr="00793123">
        <w:rPr>
          <w:noProof/>
          <w:w w:val="90"/>
          <w:lang w:val="tr-TR"/>
        </w:rPr>
        <w:t>.</w:t>
      </w:r>
    </w:p>
    <w:p w:rsidR="008F5F09" w:rsidRPr="00793123" w:rsidRDefault="008F5F09">
      <w:pPr>
        <w:pStyle w:val="GvdeMetni"/>
        <w:spacing w:before="9"/>
        <w:rPr>
          <w:noProof/>
          <w:sz w:val="24"/>
          <w:lang w:val="tr-TR"/>
        </w:rPr>
      </w:pPr>
    </w:p>
    <w:p w:rsidR="008F5F09" w:rsidRPr="00793123" w:rsidRDefault="00D87B04" w:rsidP="00D87B04">
      <w:pPr>
        <w:pStyle w:val="ListeParagraf"/>
        <w:numPr>
          <w:ilvl w:val="0"/>
          <w:numId w:val="1"/>
        </w:numPr>
        <w:tabs>
          <w:tab w:val="left" w:pos="1192"/>
        </w:tabs>
        <w:spacing w:line="244" w:lineRule="auto"/>
        <w:ind w:right="19"/>
        <w:jc w:val="both"/>
        <w:rPr>
          <w:noProof/>
          <w:sz w:val="20"/>
          <w:lang w:val="tr-TR"/>
        </w:rPr>
      </w:pPr>
      <w:r w:rsidRPr="00793123">
        <w:rPr>
          <w:noProof/>
          <w:w w:val="95"/>
          <w:sz w:val="20"/>
          <w:lang w:val="tr-TR"/>
        </w:rPr>
        <w:t>Linde'nin politikaları ile yolsuzluğu önleme yasa veya düzenlemeleri arasında herhangi bir çelişki varsa, daha kısıtlayıcı standartlar geçerli olur.</w:t>
      </w:r>
    </w:p>
    <w:p w:rsidR="008F5F09" w:rsidRPr="00793123" w:rsidRDefault="008F5F09">
      <w:pPr>
        <w:pStyle w:val="GvdeMetni"/>
        <w:spacing w:before="5"/>
        <w:rPr>
          <w:noProof/>
          <w:sz w:val="21"/>
          <w:lang w:val="tr-TR"/>
        </w:rPr>
      </w:pPr>
    </w:p>
    <w:p w:rsidR="008F5F09" w:rsidRPr="00793123" w:rsidRDefault="00793123" w:rsidP="00793123">
      <w:pPr>
        <w:pStyle w:val="ListeParagraf"/>
        <w:numPr>
          <w:ilvl w:val="0"/>
          <w:numId w:val="1"/>
        </w:numPr>
        <w:tabs>
          <w:tab w:val="left" w:pos="1192"/>
        </w:tabs>
        <w:spacing w:line="247" w:lineRule="auto"/>
        <w:ind w:right="19"/>
        <w:jc w:val="both"/>
        <w:rPr>
          <w:noProof/>
          <w:sz w:val="20"/>
          <w:lang w:val="tr-TR"/>
        </w:rPr>
      </w:pPr>
      <w:r w:rsidRPr="00793123">
        <w:rPr>
          <w:noProof/>
          <w:w w:val="95"/>
          <w:sz w:val="20"/>
          <w:lang w:val="tr-TR"/>
        </w:rPr>
        <w:t xml:space="preserve">Belirli Hizmet Sağlayıcılarla sözleşme imzalanmadan önce bunlarla ilgili olarak yasalara uygunluk durum tespiti yapılmalıdır. Hizmet Sağlayıcılarla çalışılmaya başlandıktan sonra, hizmetlerin ve ödemelerin sürekli olarak izlenmesi gerekir. </w:t>
      </w:r>
    </w:p>
    <w:p w:rsidR="008F5F09" w:rsidRPr="00793123" w:rsidRDefault="008F5F09">
      <w:pPr>
        <w:pStyle w:val="GvdeMetni"/>
        <w:spacing w:before="11"/>
        <w:rPr>
          <w:noProof/>
          <w:lang w:val="tr-TR"/>
        </w:rPr>
      </w:pPr>
    </w:p>
    <w:p w:rsidR="008F5F09" w:rsidRPr="00793123" w:rsidRDefault="00793123" w:rsidP="00793123">
      <w:pPr>
        <w:pStyle w:val="ListeParagraf"/>
        <w:numPr>
          <w:ilvl w:val="0"/>
          <w:numId w:val="1"/>
        </w:numPr>
        <w:tabs>
          <w:tab w:val="left" w:pos="1192"/>
        </w:tabs>
        <w:spacing w:line="244" w:lineRule="auto"/>
        <w:ind w:right="19"/>
        <w:jc w:val="both"/>
        <w:rPr>
          <w:noProof/>
          <w:sz w:val="20"/>
          <w:lang w:val="tr-TR"/>
        </w:rPr>
      </w:pPr>
      <w:r w:rsidRPr="00793123">
        <w:rPr>
          <w:noProof/>
          <w:w w:val="95"/>
          <w:sz w:val="20"/>
          <w:lang w:val="tr-TR"/>
        </w:rPr>
        <w:t>Yolsuzluğu önleme yasalarında, hem şirketler hem de kişiler tarafından işlenen ihlaller için ağır cezai ve hukuki cezalar hüküm altına alınmıştır.</w:t>
      </w:r>
    </w:p>
    <w:p w:rsidR="008F5F09" w:rsidRPr="00793123" w:rsidRDefault="008F5F09">
      <w:pPr>
        <w:pStyle w:val="GvdeMetni"/>
        <w:spacing w:before="5"/>
        <w:rPr>
          <w:noProof/>
          <w:sz w:val="21"/>
          <w:lang w:val="tr-TR"/>
        </w:rPr>
      </w:pPr>
    </w:p>
    <w:p w:rsidR="008F5F09" w:rsidRPr="00793123" w:rsidRDefault="00793123" w:rsidP="00793123">
      <w:pPr>
        <w:pStyle w:val="ListeParagraf"/>
        <w:numPr>
          <w:ilvl w:val="0"/>
          <w:numId w:val="1"/>
        </w:numPr>
        <w:tabs>
          <w:tab w:val="left" w:pos="1192"/>
        </w:tabs>
        <w:spacing w:line="247" w:lineRule="auto"/>
        <w:ind w:right="19"/>
        <w:jc w:val="both"/>
        <w:rPr>
          <w:noProof/>
          <w:sz w:val="20"/>
          <w:lang w:val="tr-TR"/>
        </w:rPr>
      </w:pPr>
      <w:r w:rsidRPr="00793123">
        <w:rPr>
          <w:noProof/>
          <w:w w:val="95"/>
          <w:sz w:val="20"/>
          <w:lang w:val="tr-TR"/>
        </w:rPr>
        <w:t>Belirli bir davranış veya işlemin yasaları veya Linde politikalarını ihlal edip etmediği konusunda endişeleriniz varsa, müdürünüze, uyum görevlinize veya atanmış hukuk müşavirinize danışın.</w:t>
      </w:r>
    </w:p>
    <w:p w:rsidR="008F5F09" w:rsidRPr="00793123" w:rsidRDefault="008F5F09">
      <w:pPr>
        <w:spacing w:line="247" w:lineRule="auto"/>
        <w:jc w:val="both"/>
        <w:rPr>
          <w:noProof/>
          <w:sz w:val="20"/>
          <w:lang w:val="tr-TR"/>
        </w:rPr>
        <w:sectPr w:rsidR="008F5F09" w:rsidRPr="00793123">
          <w:type w:val="continuous"/>
          <w:pgSz w:w="11910" w:h="16840"/>
          <w:pgMar w:top="2080" w:right="1300" w:bottom="1400" w:left="1300" w:header="708" w:footer="708" w:gutter="0"/>
          <w:cols w:num="2" w:space="708" w:equalWidth="0">
            <w:col w:w="4339" w:space="557"/>
            <w:col w:w="4414"/>
          </w:cols>
        </w:sect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rPr>
          <w:noProof/>
          <w:lang w:val="tr-TR"/>
        </w:rPr>
      </w:pPr>
    </w:p>
    <w:p w:rsidR="008F5F09" w:rsidRPr="00793123" w:rsidRDefault="008F5F09">
      <w:pPr>
        <w:pStyle w:val="GvdeMetni"/>
        <w:spacing w:before="11"/>
        <w:rPr>
          <w:noProof/>
          <w:sz w:val="12"/>
          <w:lang w:val="tr-TR"/>
        </w:rPr>
      </w:pPr>
    </w:p>
    <w:p w:rsidR="008F5F09" w:rsidRPr="00793123" w:rsidRDefault="00B06ACC">
      <w:pPr>
        <w:pStyle w:val="GvdeMetni"/>
        <w:spacing w:line="20" w:lineRule="exact"/>
        <w:ind w:left="111"/>
        <w:rPr>
          <w:noProof/>
          <w:sz w:val="2"/>
          <w:lang w:val="tr-TR"/>
        </w:rPr>
      </w:pPr>
      <w:r>
        <w:rPr>
          <w:noProof/>
          <w:sz w:val="2"/>
          <w:lang w:val="tr-TR"/>
        </w:rPr>
      </w:r>
      <w:r>
        <w:rPr>
          <w:noProof/>
          <w:sz w:val="2"/>
          <w:lang w:val="tr-TR"/>
        </w:rPr>
        <w:pict>
          <v:group id="_x0000_s1026" style="width:453.85pt;height:.5pt;mso-position-horizontal-relative:char;mso-position-vertical-relative:line" coordsize="9077,10">
            <v:shape id="_x0000_s1027" style="position:absolute;width:9077;height:10" coordsize="9077,10" o:spt="100" adj="0,,0" path="m3776,l,,,10r3776,l3776,xm3785,r-9,l3776,10r9,l3785,xm9076,l5226,r-10,l5216,,3785,r,10l5216,10r,l5226,10r3850,l9076,xe" fillcolor="black" stroked="f">
              <v:stroke joinstyle="round"/>
              <v:formulas/>
              <v:path arrowok="t" o:connecttype="segments"/>
            </v:shape>
            <w10:anchorlock/>
          </v:group>
        </w:pict>
      </w:r>
    </w:p>
    <w:p w:rsidR="008F5F09" w:rsidRPr="00793123" w:rsidRDefault="00793123">
      <w:pPr>
        <w:tabs>
          <w:tab w:val="left" w:pos="8770"/>
        </w:tabs>
        <w:spacing w:before="27"/>
        <w:ind w:left="219"/>
        <w:rPr>
          <w:b/>
          <w:noProof/>
          <w:sz w:val="15"/>
          <w:lang w:val="tr-TR"/>
        </w:rPr>
      </w:pPr>
      <w:r w:rsidRPr="00793123">
        <w:rPr>
          <w:noProof/>
          <w:w w:val="90"/>
          <w:sz w:val="15"/>
          <w:lang w:val="tr-TR"/>
        </w:rPr>
        <w:t xml:space="preserve">Rüşveti ve Yolsuzluğu Önlemeye İlişkin Küresel Uygunluk Politikası </w:t>
      </w:r>
      <w:r w:rsidR="00A52476" w:rsidRPr="00793123">
        <w:rPr>
          <w:noProof/>
          <w:w w:val="90"/>
          <w:sz w:val="15"/>
          <w:lang w:val="tr-TR"/>
        </w:rPr>
        <w:tab/>
      </w:r>
      <w:r w:rsidR="00A52476" w:rsidRPr="00793123">
        <w:rPr>
          <w:b/>
          <w:noProof/>
          <w:w w:val="95"/>
          <w:sz w:val="15"/>
          <w:lang w:val="tr-TR"/>
        </w:rPr>
        <w:t>7</w:t>
      </w:r>
      <w:r w:rsidR="00A52476" w:rsidRPr="00793123">
        <w:rPr>
          <w:b/>
          <w:noProof/>
          <w:spacing w:val="-10"/>
          <w:w w:val="95"/>
          <w:sz w:val="15"/>
          <w:lang w:val="tr-TR"/>
        </w:rPr>
        <w:t xml:space="preserve"> </w:t>
      </w:r>
      <w:r w:rsidR="00A52476" w:rsidRPr="00793123">
        <w:rPr>
          <w:noProof/>
          <w:w w:val="95"/>
          <w:sz w:val="15"/>
          <w:lang w:val="tr-TR"/>
        </w:rPr>
        <w:t>/</w:t>
      </w:r>
      <w:r w:rsidR="00A52476" w:rsidRPr="00793123">
        <w:rPr>
          <w:noProof/>
          <w:spacing w:val="-10"/>
          <w:w w:val="95"/>
          <w:sz w:val="15"/>
          <w:lang w:val="tr-TR"/>
        </w:rPr>
        <w:t xml:space="preserve"> </w:t>
      </w:r>
      <w:r w:rsidR="00A52476" w:rsidRPr="00793123">
        <w:rPr>
          <w:b/>
          <w:noProof/>
          <w:w w:val="95"/>
          <w:sz w:val="15"/>
          <w:lang w:val="tr-TR"/>
        </w:rPr>
        <w:t>7</w:t>
      </w:r>
    </w:p>
    <w:sectPr w:rsidR="008F5F09" w:rsidRPr="00793123">
      <w:type w:val="continuous"/>
      <w:pgSz w:w="11910" w:h="16840"/>
      <w:pgMar w:top="2080" w:right="1300" w:bottom="140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CC" w:rsidRDefault="00B06ACC">
      <w:r>
        <w:separator/>
      </w:r>
    </w:p>
  </w:endnote>
  <w:endnote w:type="continuationSeparator" w:id="0">
    <w:p w:rsidR="00B06ACC" w:rsidRDefault="00B0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76" w:rsidRDefault="00B06ACC">
    <w:pPr>
      <w:pStyle w:val="GvdeMetni"/>
      <w:spacing w:line="14" w:lineRule="auto"/>
    </w:pPr>
    <w:r>
      <w:pict>
        <v:shapetype id="_x0000_t202" coordsize="21600,21600" o:spt="202" path="m,l,21600r21600,l21600,xe">
          <v:stroke joinstyle="miter"/>
          <v:path gradientshapeok="t" o:connecttype="rect"/>
        </v:shapetype>
        <v:shape id="_x0000_s2050" type="#_x0000_t202" style="position:absolute;margin-left:75pt;margin-top:770.45pt;width:250.35pt;height:13.65pt;z-index:-15861760;mso-position-horizontal-relative:page;mso-position-vertical-relative:page" filled="f" stroked="f">
          <v:textbox inset="0,0,0,0">
            <w:txbxContent>
              <w:p w:rsidR="00A52476" w:rsidRPr="00917EF6" w:rsidRDefault="00A52476">
                <w:pPr>
                  <w:spacing w:line="169" w:lineRule="exact"/>
                  <w:ind w:left="20"/>
                  <w:rPr>
                    <w:sz w:val="15"/>
                    <w:lang w:val="tr-TR"/>
                  </w:rPr>
                </w:pPr>
                <w:r>
                  <w:rPr>
                    <w:w w:val="90"/>
                    <w:sz w:val="15"/>
                    <w:lang w:val="tr-TR"/>
                  </w:rPr>
                  <w:t xml:space="preserve">Rüşveti ve Yolsuzluğu Önlemeye İlişkin Küresel Uygunluk Politikası </w:t>
                </w:r>
              </w:p>
            </w:txbxContent>
          </v:textbox>
          <w10:wrap anchorx="page" anchory="page"/>
        </v:shape>
      </w:pict>
    </w:r>
    <w:r>
      <w:pict>
        <v:shape id="_x0000_s2051" style="position:absolute;margin-left:70.6pt;margin-top:767.85pt;width:453.85pt;height:.5pt;z-index:-15862272;mso-position-horizontal-relative:page;mso-position-vertical-relative:page" coordorigin="1412,15357" coordsize="9077,10" path="m10488,15357r-4530,l5949,15357r-4537,l1412,15367r4537,l5958,15367r4530,l10488,15357xe" fillcolor="black" stroked="f">
          <v:path arrowok="t"/>
          <w10:wrap anchorx="page" anchory="page"/>
        </v:shape>
      </w:pict>
    </w:r>
    <w:r>
      <w:pict>
        <v:shape id="_x0000_s2049" type="#_x0000_t202" style="position:absolute;margin-left:500.4pt;margin-top:770.45pt;width:22.65pt;height:9.6pt;z-index:-15861248;mso-position-horizontal-relative:page;mso-position-vertical-relative:page" filled="f" stroked="f">
          <v:textbox inset="0,0,0,0">
            <w:txbxContent>
              <w:p w:rsidR="00A52476" w:rsidRDefault="00A52476">
                <w:pPr>
                  <w:spacing w:line="169" w:lineRule="exact"/>
                  <w:ind w:left="60"/>
                  <w:rPr>
                    <w:b/>
                    <w:sz w:val="15"/>
                  </w:rPr>
                </w:pPr>
                <w:r>
                  <w:fldChar w:fldCharType="begin"/>
                </w:r>
                <w:r>
                  <w:rPr>
                    <w:b/>
                    <w:w w:val="95"/>
                    <w:sz w:val="15"/>
                  </w:rPr>
                  <w:instrText xml:space="preserve"> PAGE </w:instrText>
                </w:r>
                <w:r>
                  <w:fldChar w:fldCharType="separate"/>
                </w:r>
                <w:r w:rsidR="008911B2">
                  <w:rPr>
                    <w:b/>
                    <w:noProof/>
                    <w:w w:val="95"/>
                    <w:sz w:val="15"/>
                  </w:rPr>
                  <w:t>1</w:t>
                </w:r>
                <w:r>
                  <w:fldChar w:fldCharType="end"/>
                </w:r>
                <w:r>
                  <w:rPr>
                    <w:b/>
                    <w:spacing w:val="-11"/>
                    <w:w w:val="95"/>
                    <w:sz w:val="15"/>
                  </w:rPr>
                  <w:t xml:space="preserve"> </w:t>
                </w:r>
                <w:r>
                  <w:rPr>
                    <w:w w:val="95"/>
                    <w:sz w:val="15"/>
                  </w:rPr>
                  <w:t>/</w:t>
                </w:r>
                <w:r>
                  <w:rPr>
                    <w:spacing w:val="-9"/>
                    <w:w w:val="95"/>
                    <w:sz w:val="15"/>
                  </w:rPr>
                  <w:t xml:space="preserve"> </w:t>
                </w:r>
                <w:r>
                  <w:rPr>
                    <w:b/>
                    <w:w w:val="95"/>
                    <w:sz w:val="15"/>
                  </w:rPr>
                  <w:t>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76" w:rsidRDefault="00A5247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CC" w:rsidRDefault="00B06ACC">
      <w:r>
        <w:separator/>
      </w:r>
    </w:p>
  </w:footnote>
  <w:footnote w:type="continuationSeparator" w:id="0">
    <w:p w:rsidR="00B06ACC" w:rsidRDefault="00B06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76" w:rsidRDefault="00A52476">
    <w:pPr>
      <w:pStyle w:val="GvdeMetni"/>
      <w:spacing w:line="14" w:lineRule="auto"/>
    </w:pPr>
    <w:r>
      <w:rPr>
        <w:noProof/>
        <w:lang w:val="tr-TR" w:eastAsia="tr-TR"/>
      </w:rPr>
      <w:drawing>
        <wp:anchor distT="0" distB="0" distL="0" distR="0" simplePos="0" relativeHeight="251655168" behindDoc="1" locked="0" layoutInCell="1" allowOverlap="1">
          <wp:simplePos x="0" y="0"/>
          <wp:positionH relativeFrom="page">
            <wp:posOffset>5256529</wp:posOffset>
          </wp:positionH>
          <wp:positionV relativeFrom="page">
            <wp:posOffset>360006</wp:posOffset>
          </wp:positionV>
          <wp:extent cx="1939925" cy="9681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39925" cy="968159"/>
                  </a:xfrm>
                  <a:prstGeom prst="rect">
                    <a:avLst/>
                  </a:prstGeom>
                </pic:spPr>
              </pic:pic>
            </a:graphicData>
          </a:graphic>
        </wp:anchor>
      </w:drawing>
    </w:r>
    <w:r>
      <w:rPr>
        <w:noProof/>
        <w:lang w:val="tr-TR" w:eastAsia="tr-TR"/>
      </w:rPr>
      <w:drawing>
        <wp:anchor distT="0" distB="0" distL="0" distR="0" simplePos="0" relativeHeight="251657216" behindDoc="1" locked="0" layoutInCell="1" allowOverlap="1">
          <wp:simplePos x="0" y="0"/>
          <wp:positionH relativeFrom="page">
            <wp:posOffset>909976</wp:posOffset>
          </wp:positionH>
          <wp:positionV relativeFrom="page">
            <wp:posOffset>443210</wp:posOffset>
          </wp:positionV>
          <wp:extent cx="2363635" cy="1672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63635" cy="16726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76" w:rsidRDefault="00A52476">
    <w:pPr>
      <w:pStyle w:val="GvdeMetni"/>
      <w:spacing w:line="14" w:lineRule="auto"/>
    </w:pPr>
    <w:r>
      <w:rPr>
        <w:noProof/>
        <w:lang w:val="tr-TR" w:eastAsia="tr-TR"/>
      </w:rPr>
      <w:drawing>
        <wp:anchor distT="0" distB="0" distL="0" distR="0" simplePos="0" relativeHeight="251659264" behindDoc="1" locked="0" layoutInCell="1" allowOverlap="1">
          <wp:simplePos x="0" y="0"/>
          <wp:positionH relativeFrom="page">
            <wp:posOffset>5256529</wp:posOffset>
          </wp:positionH>
          <wp:positionV relativeFrom="page">
            <wp:posOffset>360006</wp:posOffset>
          </wp:positionV>
          <wp:extent cx="1939925" cy="9681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39925" cy="968159"/>
                  </a:xfrm>
                  <a:prstGeom prst="rect">
                    <a:avLst/>
                  </a:prstGeom>
                </pic:spPr>
              </pic:pic>
            </a:graphicData>
          </a:graphic>
        </wp:anchor>
      </w:drawing>
    </w:r>
    <w:r>
      <w:rPr>
        <w:noProof/>
        <w:lang w:val="tr-TR" w:eastAsia="tr-TR"/>
      </w:rPr>
      <w:drawing>
        <wp:anchor distT="0" distB="0" distL="0" distR="0" simplePos="0" relativeHeight="251661312" behindDoc="1" locked="0" layoutInCell="1" allowOverlap="1">
          <wp:simplePos x="0" y="0"/>
          <wp:positionH relativeFrom="page">
            <wp:posOffset>909976</wp:posOffset>
          </wp:positionH>
          <wp:positionV relativeFrom="page">
            <wp:posOffset>443210</wp:posOffset>
          </wp:positionV>
          <wp:extent cx="2363635" cy="16726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2363635" cy="1672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8F3"/>
    <w:multiLevelType w:val="hybridMultilevel"/>
    <w:tmpl w:val="BFF0F9A4"/>
    <w:lvl w:ilvl="0" w:tplc="B48A8008">
      <w:start w:val="1"/>
      <w:numFmt w:val="upperRoman"/>
      <w:lvlText w:val="%1"/>
      <w:lvlJc w:val="left"/>
      <w:pPr>
        <w:ind w:left="735" w:hanging="624"/>
        <w:jc w:val="left"/>
      </w:pPr>
      <w:rPr>
        <w:rFonts w:ascii="Trebuchet MS" w:eastAsia="Trebuchet MS" w:hAnsi="Trebuchet MS" w:cs="Trebuchet MS" w:hint="default"/>
        <w:b/>
        <w:bCs/>
        <w:w w:val="95"/>
        <w:sz w:val="20"/>
        <w:szCs w:val="20"/>
        <w:lang w:val="en-US" w:eastAsia="en-US" w:bidi="ar-SA"/>
      </w:rPr>
    </w:lvl>
    <w:lvl w:ilvl="1" w:tplc="1868CFAC">
      <w:start w:val="1"/>
      <w:numFmt w:val="upperRoman"/>
      <w:lvlText w:val="%2"/>
      <w:lvlJc w:val="left"/>
      <w:pPr>
        <w:ind w:left="1011" w:hanging="540"/>
        <w:jc w:val="left"/>
      </w:pPr>
      <w:rPr>
        <w:rFonts w:ascii="Trebuchet MS" w:eastAsia="Trebuchet MS" w:hAnsi="Trebuchet MS" w:cs="Trebuchet MS" w:hint="default"/>
        <w:b/>
        <w:bCs/>
        <w:color w:val="003E6C"/>
        <w:w w:val="96"/>
        <w:sz w:val="28"/>
        <w:szCs w:val="28"/>
        <w:lang w:val="en-US" w:eastAsia="en-US" w:bidi="ar-SA"/>
      </w:rPr>
    </w:lvl>
    <w:lvl w:ilvl="2" w:tplc="9C760694">
      <w:numFmt w:val="bullet"/>
      <w:lvlText w:val="—"/>
      <w:lvlJc w:val="left"/>
      <w:pPr>
        <w:ind w:left="1191" w:hanging="360"/>
      </w:pPr>
      <w:rPr>
        <w:rFonts w:ascii="Trebuchet MS" w:eastAsia="Trebuchet MS" w:hAnsi="Trebuchet MS" w:cs="Trebuchet MS" w:hint="default"/>
        <w:w w:val="107"/>
        <w:sz w:val="20"/>
        <w:szCs w:val="20"/>
        <w:lang w:val="en-US" w:eastAsia="en-US" w:bidi="ar-SA"/>
      </w:rPr>
    </w:lvl>
    <w:lvl w:ilvl="3" w:tplc="AE5C75D6">
      <w:numFmt w:val="bullet"/>
      <w:lvlText w:val="•"/>
      <w:lvlJc w:val="left"/>
      <w:pPr>
        <w:ind w:left="2213" w:hanging="360"/>
      </w:pPr>
      <w:rPr>
        <w:rFonts w:hint="default"/>
        <w:lang w:val="en-US" w:eastAsia="en-US" w:bidi="ar-SA"/>
      </w:rPr>
    </w:lvl>
    <w:lvl w:ilvl="4" w:tplc="1C2C0842">
      <w:numFmt w:val="bullet"/>
      <w:lvlText w:val="•"/>
      <w:lvlJc w:val="left"/>
      <w:pPr>
        <w:ind w:left="3226" w:hanging="360"/>
      </w:pPr>
      <w:rPr>
        <w:rFonts w:hint="default"/>
        <w:lang w:val="en-US" w:eastAsia="en-US" w:bidi="ar-SA"/>
      </w:rPr>
    </w:lvl>
    <w:lvl w:ilvl="5" w:tplc="4198DBCA">
      <w:numFmt w:val="bullet"/>
      <w:lvlText w:val="•"/>
      <w:lvlJc w:val="left"/>
      <w:pPr>
        <w:ind w:left="4239" w:hanging="360"/>
      </w:pPr>
      <w:rPr>
        <w:rFonts w:hint="default"/>
        <w:lang w:val="en-US" w:eastAsia="en-US" w:bidi="ar-SA"/>
      </w:rPr>
    </w:lvl>
    <w:lvl w:ilvl="6" w:tplc="813ECED0">
      <w:numFmt w:val="bullet"/>
      <w:lvlText w:val="•"/>
      <w:lvlJc w:val="left"/>
      <w:pPr>
        <w:ind w:left="5253" w:hanging="360"/>
      </w:pPr>
      <w:rPr>
        <w:rFonts w:hint="default"/>
        <w:lang w:val="en-US" w:eastAsia="en-US" w:bidi="ar-SA"/>
      </w:rPr>
    </w:lvl>
    <w:lvl w:ilvl="7" w:tplc="BB00936E">
      <w:numFmt w:val="bullet"/>
      <w:lvlText w:val="•"/>
      <w:lvlJc w:val="left"/>
      <w:pPr>
        <w:ind w:left="6266" w:hanging="360"/>
      </w:pPr>
      <w:rPr>
        <w:rFonts w:hint="default"/>
        <w:lang w:val="en-US" w:eastAsia="en-US" w:bidi="ar-SA"/>
      </w:rPr>
    </w:lvl>
    <w:lvl w:ilvl="8" w:tplc="698226AC">
      <w:numFmt w:val="bullet"/>
      <w:lvlText w:val="•"/>
      <w:lvlJc w:val="left"/>
      <w:pPr>
        <w:ind w:left="7279" w:hanging="360"/>
      </w:pPr>
      <w:rPr>
        <w:rFonts w:hint="default"/>
        <w:lang w:val="en-US" w:eastAsia="en-US" w:bidi="ar-SA"/>
      </w:rPr>
    </w:lvl>
  </w:abstractNum>
  <w:abstractNum w:abstractNumId="1" w15:restartNumberingAfterBreak="0">
    <w:nsid w:val="79091FA3"/>
    <w:multiLevelType w:val="hybridMultilevel"/>
    <w:tmpl w:val="B748E788"/>
    <w:lvl w:ilvl="0" w:tplc="0CF699FA">
      <w:start w:val="1"/>
      <w:numFmt w:val="decimal"/>
      <w:lvlText w:val="%1."/>
      <w:lvlJc w:val="left"/>
      <w:pPr>
        <w:ind w:left="1191" w:hanging="720"/>
        <w:jc w:val="left"/>
      </w:pPr>
      <w:rPr>
        <w:rFonts w:ascii="Trebuchet MS" w:eastAsia="Trebuchet MS" w:hAnsi="Trebuchet MS" w:cs="Trebuchet MS" w:hint="default"/>
        <w:b/>
        <w:bCs/>
        <w:color w:val="003E6C"/>
        <w:spacing w:val="0"/>
        <w:w w:val="85"/>
        <w:sz w:val="28"/>
        <w:szCs w:val="28"/>
        <w:lang w:val="en-US" w:eastAsia="en-US" w:bidi="ar-SA"/>
      </w:rPr>
    </w:lvl>
    <w:lvl w:ilvl="1" w:tplc="A704E9A4">
      <w:numFmt w:val="bullet"/>
      <w:lvlText w:val="•"/>
      <w:lvlJc w:val="left"/>
      <w:pPr>
        <w:ind w:left="1513" w:hanging="720"/>
      </w:pPr>
      <w:rPr>
        <w:rFonts w:hint="default"/>
        <w:lang w:val="en-US" w:eastAsia="en-US" w:bidi="ar-SA"/>
      </w:rPr>
    </w:lvl>
    <w:lvl w:ilvl="2" w:tplc="EA242F8E">
      <w:numFmt w:val="bullet"/>
      <w:lvlText w:val="•"/>
      <w:lvlJc w:val="left"/>
      <w:pPr>
        <w:ind w:left="1827" w:hanging="720"/>
      </w:pPr>
      <w:rPr>
        <w:rFonts w:hint="default"/>
        <w:lang w:val="en-US" w:eastAsia="en-US" w:bidi="ar-SA"/>
      </w:rPr>
    </w:lvl>
    <w:lvl w:ilvl="3" w:tplc="E098AF32">
      <w:numFmt w:val="bullet"/>
      <w:lvlText w:val="•"/>
      <w:lvlJc w:val="left"/>
      <w:pPr>
        <w:ind w:left="2141" w:hanging="720"/>
      </w:pPr>
      <w:rPr>
        <w:rFonts w:hint="default"/>
        <w:lang w:val="en-US" w:eastAsia="en-US" w:bidi="ar-SA"/>
      </w:rPr>
    </w:lvl>
    <w:lvl w:ilvl="4" w:tplc="AA4A882E">
      <w:numFmt w:val="bullet"/>
      <w:lvlText w:val="•"/>
      <w:lvlJc w:val="left"/>
      <w:pPr>
        <w:ind w:left="2455" w:hanging="720"/>
      </w:pPr>
      <w:rPr>
        <w:rFonts w:hint="default"/>
        <w:lang w:val="en-US" w:eastAsia="en-US" w:bidi="ar-SA"/>
      </w:rPr>
    </w:lvl>
    <w:lvl w:ilvl="5" w:tplc="EDE4C3DA">
      <w:numFmt w:val="bullet"/>
      <w:lvlText w:val="•"/>
      <w:lvlJc w:val="left"/>
      <w:pPr>
        <w:ind w:left="2769" w:hanging="720"/>
      </w:pPr>
      <w:rPr>
        <w:rFonts w:hint="default"/>
        <w:lang w:val="en-US" w:eastAsia="en-US" w:bidi="ar-SA"/>
      </w:rPr>
    </w:lvl>
    <w:lvl w:ilvl="6" w:tplc="3B549590">
      <w:numFmt w:val="bullet"/>
      <w:lvlText w:val="•"/>
      <w:lvlJc w:val="left"/>
      <w:pPr>
        <w:ind w:left="3083" w:hanging="720"/>
      </w:pPr>
      <w:rPr>
        <w:rFonts w:hint="default"/>
        <w:lang w:val="en-US" w:eastAsia="en-US" w:bidi="ar-SA"/>
      </w:rPr>
    </w:lvl>
    <w:lvl w:ilvl="7" w:tplc="472A88F2">
      <w:numFmt w:val="bullet"/>
      <w:lvlText w:val="•"/>
      <w:lvlJc w:val="left"/>
      <w:pPr>
        <w:ind w:left="3397" w:hanging="720"/>
      </w:pPr>
      <w:rPr>
        <w:rFonts w:hint="default"/>
        <w:lang w:val="en-US" w:eastAsia="en-US" w:bidi="ar-SA"/>
      </w:rPr>
    </w:lvl>
    <w:lvl w:ilvl="8" w:tplc="27E6F15C">
      <w:numFmt w:val="bullet"/>
      <w:lvlText w:val="•"/>
      <w:lvlJc w:val="left"/>
      <w:pPr>
        <w:ind w:left="3711"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F5F09"/>
    <w:rsid w:val="00002712"/>
    <w:rsid w:val="002312C5"/>
    <w:rsid w:val="002C6FCF"/>
    <w:rsid w:val="004E3265"/>
    <w:rsid w:val="005B6D8A"/>
    <w:rsid w:val="006130CC"/>
    <w:rsid w:val="0064458F"/>
    <w:rsid w:val="0065732F"/>
    <w:rsid w:val="00737CC2"/>
    <w:rsid w:val="00793123"/>
    <w:rsid w:val="007B2E9B"/>
    <w:rsid w:val="008439AD"/>
    <w:rsid w:val="008911B2"/>
    <w:rsid w:val="008F5F09"/>
    <w:rsid w:val="00917EF6"/>
    <w:rsid w:val="00A52476"/>
    <w:rsid w:val="00B06ACC"/>
    <w:rsid w:val="00B87C6F"/>
    <w:rsid w:val="00C14239"/>
    <w:rsid w:val="00CA745D"/>
    <w:rsid w:val="00D87B04"/>
    <w:rsid w:val="00E16524"/>
    <w:rsid w:val="00F52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2AB2BC-7AEB-4380-B110-87A43CD1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Balk1">
    <w:name w:val="heading 1"/>
    <w:basedOn w:val="Normal"/>
    <w:uiPriority w:val="1"/>
    <w:qFormat/>
    <w:pPr>
      <w:ind w:left="1011" w:hanging="541"/>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327"/>
      <w:ind w:left="735" w:hanging="625"/>
    </w:pPr>
    <w:rPr>
      <w:b/>
      <w:bCs/>
      <w:sz w:val="20"/>
      <w:szCs w:val="20"/>
    </w:r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31"/>
      <w:ind w:left="3306" w:hanging="1611"/>
    </w:pPr>
    <w:rPr>
      <w:b/>
      <w:bCs/>
      <w:sz w:val="40"/>
      <w:szCs w:val="40"/>
    </w:rPr>
  </w:style>
  <w:style w:type="paragraph" w:styleId="ListeParagraf">
    <w:name w:val="List Paragraph"/>
    <w:basedOn w:val="Normal"/>
    <w:uiPriority w:val="1"/>
    <w:qFormat/>
    <w:pPr>
      <w:ind w:left="1191" w:hanging="72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17EF6"/>
    <w:pPr>
      <w:tabs>
        <w:tab w:val="center" w:pos="4536"/>
        <w:tab w:val="right" w:pos="9072"/>
      </w:tabs>
    </w:pPr>
  </w:style>
  <w:style w:type="character" w:customStyle="1" w:styleId="stbilgiChar">
    <w:name w:val="Üstbilgi Char"/>
    <w:basedOn w:val="VarsaylanParagrafYazTipi"/>
    <w:link w:val="stbilgi"/>
    <w:uiPriority w:val="99"/>
    <w:rsid w:val="00917EF6"/>
    <w:rPr>
      <w:rFonts w:ascii="Trebuchet MS" w:eastAsia="Trebuchet MS" w:hAnsi="Trebuchet MS" w:cs="Trebuchet MS"/>
    </w:rPr>
  </w:style>
  <w:style w:type="paragraph" w:styleId="Altbilgi">
    <w:name w:val="footer"/>
    <w:basedOn w:val="Normal"/>
    <w:link w:val="AltbilgiChar"/>
    <w:uiPriority w:val="99"/>
    <w:unhideWhenUsed/>
    <w:rsid w:val="00917EF6"/>
    <w:pPr>
      <w:tabs>
        <w:tab w:val="center" w:pos="4536"/>
        <w:tab w:val="right" w:pos="9072"/>
      </w:tabs>
    </w:pPr>
  </w:style>
  <w:style w:type="character" w:customStyle="1" w:styleId="AltbilgiChar">
    <w:name w:val="Altbilgi Char"/>
    <w:basedOn w:val="VarsaylanParagrafYazTipi"/>
    <w:link w:val="Altbilgi"/>
    <w:uiPriority w:val="99"/>
    <w:rsid w:val="00917EF6"/>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1743</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9</cp:revision>
  <dcterms:created xsi:type="dcterms:W3CDTF">2023-10-08T05:55:00Z</dcterms:created>
  <dcterms:modified xsi:type="dcterms:W3CDTF">2023-10-09T15:05:00Z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2023-10-08T00:00:00Z</vt:filetime>
  </property>
</Properties>
</file>