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rPr>
          <w:rFonts w:ascii="Times New Roman"/>
          <w:noProof/>
          <w:lang w:val="tr-TR"/>
        </w:rPr>
      </w:pPr>
    </w:p>
    <w:p w:rsidR="006415D6" w:rsidRPr="006C143E" w:rsidRDefault="006415D6">
      <w:pPr>
        <w:pStyle w:val="GvdeMetni"/>
        <w:spacing w:before="2"/>
        <w:rPr>
          <w:rFonts w:ascii="Times New Roman"/>
          <w:noProof/>
          <w:sz w:val="23"/>
          <w:lang w:val="tr-TR"/>
        </w:rPr>
      </w:pPr>
    </w:p>
    <w:p w:rsidR="006415D6" w:rsidRPr="006C143E" w:rsidRDefault="00624E1D">
      <w:pPr>
        <w:pStyle w:val="KonuBal"/>
        <w:rPr>
          <w:noProof/>
          <w:lang w:val="tr-TR"/>
        </w:rPr>
      </w:pPr>
      <w:r w:rsidRPr="006C143E">
        <w:rPr>
          <w:noProof/>
          <w:color w:val="003E6C"/>
          <w:w w:val="90"/>
          <w:lang w:val="tr-TR"/>
        </w:rPr>
        <w:t xml:space="preserve">Siyasi Bağışlar ve Lobicilikle İlgili Küresel Politika </w:t>
      </w:r>
    </w:p>
    <w:p w:rsidR="006415D6" w:rsidRPr="006C143E" w:rsidRDefault="006415D6">
      <w:pPr>
        <w:rPr>
          <w:noProof/>
          <w:lang w:val="tr-TR"/>
        </w:rPr>
        <w:sectPr w:rsidR="006415D6" w:rsidRPr="006C143E">
          <w:headerReference w:type="default" r:id="rId7"/>
          <w:footerReference w:type="default" r:id="rId8"/>
          <w:type w:val="continuous"/>
          <w:pgSz w:w="11910" w:h="16840"/>
          <w:pgMar w:top="2080" w:right="1320" w:bottom="1120" w:left="1300" w:header="567" w:footer="920" w:gutter="0"/>
          <w:pgNumType w:start="1"/>
          <w:cols w:space="708"/>
        </w:sectPr>
      </w:pPr>
    </w:p>
    <w:p w:rsidR="006415D6" w:rsidRPr="006C143E" w:rsidRDefault="006415D6">
      <w:pPr>
        <w:pStyle w:val="GvdeMetni"/>
        <w:rPr>
          <w:b/>
          <w:noProof/>
          <w:lang w:val="tr-TR"/>
        </w:rPr>
      </w:pPr>
    </w:p>
    <w:p w:rsidR="006415D6" w:rsidRPr="006C143E" w:rsidRDefault="006415D6">
      <w:pPr>
        <w:pStyle w:val="GvdeMetni"/>
        <w:rPr>
          <w:b/>
          <w:noProof/>
          <w:lang w:val="tr-TR"/>
        </w:rPr>
      </w:pPr>
    </w:p>
    <w:p w:rsidR="006415D6" w:rsidRPr="006C143E" w:rsidRDefault="006415D6">
      <w:pPr>
        <w:pStyle w:val="GvdeMetni"/>
        <w:rPr>
          <w:b/>
          <w:noProof/>
          <w:lang w:val="tr-TR"/>
        </w:rPr>
      </w:pPr>
    </w:p>
    <w:p w:rsidR="006415D6" w:rsidRPr="006C143E" w:rsidRDefault="006415D6">
      <w:pPr>
        <w:pStyle w:val="GvdeMetni"/>
        <w:spacing w:before="7"/>
        <w:rPr>
          <w:b/>
          <w:noProof/>
          <w:sz w:val="26"/>
          <w:lang w:val="tr-TR"/>
        </w:rPr>
      </w:pPr>
    </w:p>
    <w:p w:rsidR="006415D6" w:rsidRPr="006C143E" w:rsidRDefault="00624E1D">
      <w:pPr>
        <w:spacing w:before="44"/>
        <w:ind w:left="111"/>
        <w:rPr>
          <w:b/>
          <w:noProof/>
          <w:sz w:val="32"/>
          <w:lang w:val="tr-TR"/>
        </w:rPr>
      </w:pPr>
      <w:r w:rsidRPr="006C143E">
        <w:rPr>
          <w:b/>
          <w:noProof/>
          <w:color w:val="003E6C"/>
          <w:w w:val="85"/>
          <w:sz w:val="32"/>
          <w:lang w:val="tr-TR"/>
        </w:rPr>
        <w:t>İçindekiler</w:t>
      </w:r>
    </w:p>
    <w:sdt>
      <w:sdtPr>
        <w:rPr>
          <w:b w:val="0"/>
          <w:bCs w:val="0"/>
          <w:noProof/>
          <w:sz w:val="22"/>
          <w:szCs w:val="22"/>
          <w:lang w:val="tr-TR"/>
        </w:rPr>
        <w:id w:val="1212920250"/>
        <w:docPartObj>
          <w:docPartGallery w:val="Table of Contents"/>
          <w:docPartUnique/>
        </w:docPartObj>
      </w:sdtPr>
      <w:sdtEndPr/>
      <w:sdtContent>
        <w:p w:rsidR="006415D6" w:rsidRPr="006C143E" w:rsidRDefault="002814ED">
          <w:pPr>
            <w:pStyle w:val="T1"/>
            <w:numPr>
              <w:ilvl w:val="0"/>
              <w:numId w:val="1"/>
            </w:numPr>
            <w:tabs>
              <w:tab w:val="left" w:pos="735"/>
              <w:tab w:val="left" w:pos="736"/>
              <w:tab w:val="right" w:pos="9173"/>
            </w:tabs>
            <w:spacing w:before="358"/>
            <w:ind w:hanging="625"/>
            <w:rPr>
              <w:noProof/>
              <w:lang w:val="tr-TR"/>
            </w:rPr>
          </w:pPr>
          <w:r w:rsidRPr="006C143E">
            <w:rPr>
              <w:noProof/>
              <w:lang w:val="tr-TR"/>
            </w:rPr>
            <w:fldChar w:fldCharType="begin"/>
          </w:r>
          <w:r w:rsidRPr="006C143E">
            <w:rPr>
              <w:noProof/>
              <w:lang w:val="tr-TR"/>
            </w:rPr>
            <w:instrText xml:space="preserve">TOC \o "1-1" \h \z \u </w:instrText>
          </w:r>
          <w:r w:rsidRPr="006C143E">
            <w:rPr>
              <w:noProof/>
              <w:lang w:val="tr-TR"/>
            </w:rPr>
            <w:fldChar w:fldCharType="separate"/>
          </w:r>
          <w:hyperlink w:anchor="_bookmark0" w:history="1">
            <w:r w:rsidR="00624E1D" w:rsidRPr="006C143E">
              <w:rPr>
                <w:noProof/>
                <w:lang w:val="tr-TR"/>
              </w:rPr>
              <w:t>Giriş</w:t>
            </w:r>
            <w:r w:rsidRPr="006C143E">
              <w:rPr>
                <w:noProof/>
                <w:lang w:val="tr-TR"/>
              </w:rPr>
              <w:tab/>
              <w:t>3</w:t>
            </w:r>
          </w:hyperlink>
        </w:p>
        <w:p w:rsidR="006415D6" w:rsidRPr="006C143E" w:rsidRDefault="004139B9">
          <w:pPr>
            <w:pStyle w:val="T1"/>
            <w:numPr>
              <w:ilvl w:val="0"/>
              <w:numId w:val="1"/>
            </w:numPr>
            <w:tabs>
              <w:tab w:val="left" w:pos="735"/>
              <w:tab w:val="left" w:pos="736"/>
              <w:tab w:val="right" w:pos="9173"/>
            </w:tabs>
            <w:spacing w:before="329"/>
            <w:ind w:hanging="625"/>
            <w:rPr>
              <w:noProof/>
              <w:lang w:val="tr-TR"/>
            </w:rPr>
          </w:pPr>
          <w:hyperlink w:anchor="_bookmark1" w:history="1">
            <w:r w:rsidR="00624E1D" w:rsidRPr="006C143E">
              <w:rPr>
                <w:noProof/>
                <w:lang w:val="tr-TR"/>
              </w:rPr>
              <w:t xml:space="preserve">Kurumsal </w:t>
            </w:r>
            <w:r w:rsidR="00AB2959" w:rsidRPr="006C143E">
              <w:rPr>
                <w:noProof/>
                <w:lang w:val="tr-TR"/>
              </w:rPr>
              <w:t>Katkılar</w:t>
            </w:r>
            <w:r w:rsidR="002814ED" w:rsidRPr="006C143E">
              <w:rPr>
                <w:noProof/>
                <w:lang w:val="tr-TR"/>
              </w:rPr>
              <w:tab/>
              <w:t>3</w:t>
            </w:r>
          </w:hyperlink>
        </w:p>
        <w:p w:rsidR="006415D6" w:rsidRPr="006C143E" w:rsidRDefault="004139B9">
          <w:pPr>
            <w:pStyle w:val="T1"/>
            <w:numPr>
              <w:ilvl w:val="0"/>
              <w:numId w:val="1"/>
            </w:numPr>
            <w:tabs>
              <w:tab w:val="left" w:pos="735"/>
              <w:tab w:val="left" w:pos="736"/>
              <w:tab w:val="right" w:pos="9173"/>
            </w:tabs>
            <w:ind w:hanging="625"/>
            <w:rPr>
              <w:noProof/>
              <w:lang w:val="tr-TR"/>
            </w:rPr>
          </w:pPr>
          <w:hyperlink w:anchor="_bookmark2" w:history="1">
            <w:r w:rsidR="002814ED" w:rsidRPr="006C143E">
              <w:rPr>
                <w:noProof/>
                <w:lang w:val="tr-TR"/>
              </w:rPr>
              <w:t>Linde</w:t>
            </w:r>
            <w:r w:rsidR="00624E1D" w:rsidRPr="006C143E">
              <w:rPr>
                <w:noProof/>
                <w:lang w:val="tr-TR"/>
              </w:rPr>
              <w:t>’nin ABD’deki Politik Eylem Komitesi</w:t>
            </w:r>
            <w:r w:rsidR="002814ED" w:rsidRPr="006C143E">
              <w:rPr>
                <w:noProof/>
                <w:lang w:val="tr-TR"/>
              </w:rPr>
              <w:tab/>
              <w:t>3</w:t>
            </w:r>
          </w:hyperlink>
        </w:p>
        <w:p w:rsidR="006415D6" w:rsidRPr="006C143E" w:rsidRDefault="004139B9">
          <w:pPr>
            <w:pStyle w:val="T1"/>
            <w:numPr>
              <w:ilvl w:val="0"/>
              <w:numId w:val="1"/>
            </w:numPr>
            <w:tabs>
              <w:tab w:val="left" w:pos="735"/>
              <w:tab w:val="left" w:pos="736"/>
              <w:tab w:val="right" w:pos="9173"/>
            </w:tabs>
            <w:spacing w:before="328"/>
            <w:ind w:hanging="625"/>
            <w:rPr>
              <w:noProof/>
              <w:lang w:val="tr-TR"/>
            </w:rPr>
          </w:pPr>
          <w:hyperlink w:anchor="_bookmark3" w:history="1">
            <w:r w:rsidR="00624E1D" w:rsidRPr="006C143E">
              <w:rPr>
                <w:noProof/>
                <w:lang w:val="tr-TR"/>
              </w:rPr>
              <w:t>Seçilen Yetkililere Hediye Verilmesi</w:t>
            </w:r>
            <w:r w:rsidR="002814ED" w:rsidRPr="006C143E">
              <w:rPr>
                <w:noProof/>
                <w:lang w:val="tr-TR"/>
              </w:rPr>
              <w:tab/>
              <w:t>4</w:t>
            </w:r>
          </w:hyperlink>
        </w:p>
        <w:p w:rsidR="006415D6" w:rsidRPr="006C143E" w:rsidRDefault="004139B9">
          <w:pPr>
            <w:pStyle w:val="T1"/>
            <w:numPr>
              <w:ilvl w:val="0"/>
              <w:numId w:val="1"/>
            </w:numPr>
            <w:tabs>
              <w:tab w:val="left" w:pos="735"/>
              <w:tab w:val="left" w:pos="736"/>
              <w:tab w:val="right" w:pos="9173"/>
            </w:tabs>
            <w:spacing w:before="329"/>
            <w:ind w:hanging="625"/>
            <w:rPr>
              <w:noProof/>
              <w:lang w:val="tr-TR"/>
            </w:rPr>
          </w:pPr>
          <w:hyperlink w:anchor="_bookmark4" w:history="1">
            <w:r w:rsidR="00624E1D" w:rsidRPr="006C143E">
              <w:rPr>
                <w:noProof/>
                <w:lang w:val="tr-TR"/>
              </w:rPr>
              <w:t>Lobicilik Faaliyetleri</w:t>
            </w:r>
            <w:r w:rsidR="002814ED" w:rsidRPr="006C143E">
              <w:rPr>
                <w:noProof/>
                <w:lang w:val="tr-TR"/>
              </w:rPr>
              <w:tab/>
              <w:t>4</w:t>
            </w:r>
          </w:hyperlink>
        </w:p>
        <w:p w:rsidR="006415D6" w:rsidRPr="006C143E" w:rsidRDefault="004139B9">
          <w:pPr>
            <w:pStyle w:val="T1"/>
            <w:numPr>
              <w:ilvl w:val="0"/>
              <w:numId w:val="1"/>
            </w:numPr>
            <w:tabs>
              <w:tab w:val="left" w:pos="735"/>
              <w:tab w:val="left" w:pos="736"/>
              <w:tab w:val="right" w:pos="9173"/>
            </w:tabs>
            <w:ind w:hanging="625"/>
            <w:rPr>
              <w:noProof/>
              <w:lang w:val="tr-TR"/>
            </w:rPr>
          </w:pPr>
          <w:hyperlink w:anchor="_bookmark5" w:history="1">
            <w:r w:rsidR="00624E1D" w:rsidRPr="006C143E">
              <w:rPr>
                <w:noProof/>
                <w:lang w:val="tr-TR"/>
              </w:rPr>
              <w:t>Yürürlük Tarihi</w:t>
            </w:r>
            <w:r w:rsidR="002814ED" w:rsidRPr="006C143E">
              <w:rPr>
                <w:noProof/>
                <w:lang w:val="tr-TR"/>
              </w:rPr>
              <w:tab/>
              <w:t>4</w:t>
            </w:r>
          </w:hyperlink>
        </w:p>
        <w:p w:rsidR="006415D6" w:rsidRPr="006C143E" w:rsidRDefault="004139B9">
          <w:pPr>
            <w:pStyle w:val="T1"/>
            <w:numPr>
              <w:ilvl w:val="0"/>
              <w:numId w:val="1"/>
            </w:numPr>
            <w:tabs>
              <w:tab w:val="left" w:pos="735"/>
              <w:tab w:val="left" w:pos="736"/>
              <w:tab w:val="right" w:pos="9173"/>
            </w:tabs>
            <w:ind w:hanging="625"/>
            <w:rPr>
              <w:noProof/>
              <w:lang w:val="tr-TR"/>
            </w:rPr>
          </w:pPr>
          <w:hyperlink w:anchor="_bookmark6" w:history="1">
            <w:r w:rsidR="00624E1D" w:rsidRPr="006C143E">
              <w:rPr>
                <w:noProof/>
                <w:lang w:val="tr-TR"/>
              </w:rPr>
              <w:t>Sorular veya Ek Bilgiler</w:t>
            </w:r>
            <w:r w:rsidR="002814ED" w:rsidRPr="006C143E">
              <w:rPr>
                <w:noProof/>
                <w:lang w:val="tr-TR"/>
              </w:rPr>
              <w:tab/>
              <w:t>4</w:t>
            </w:r>
          </w:hyperlink>
        </w:p>
        <w:p w:rsidR="006415D6" w:rsidRPr="006C143E" w:rsidRDefault="002814ED">
          <w:pPr>
            <w:rPr>
              <w:noProof/>
              <w:lang w:val="tr-TR"/>
            </w:rPr>
          </w:pPr>
          <w:r w:rsidRPr="006C143E">
            <w:rPr>
              <w:noProof/>
              <w:lang w:val="tr-TR"/>
            </w:rPr>
            <w:fldChar w:fldCharType="end"/>
          </w:r>
        </w:p>
      </w:sdtContent>
    </w:sdt>
    <w:p w:rsidR="006415D6" w:rsidRPr="006C143E" w:rsidRDefault="006415D6">
      <w:pPr>
        <w:rPr>
          <w:noProof/>
          <w:lang w:val="tr-TR"/>
        </w:rPr>
        <w:sectPr w:rsidR="006415D6" w:rsidRPr="006C143E">
          <w:pgSz w:w="11910" w:h="16840"/>
          <w:pgMar w:top="2080" w:right="1320" w:bottom="1120" w:left="1300" w:header="567" w:footer="920" w:gutter="0"/>
          <w:cols w:space="708"/>
        </w:sectPr>
      </w:pPr>
    </w:p>
    <w:p w:rsidR="006415D6" w:rsidRPr="006C143E" w:rsidRDefault="006415D6">
      <w:pPr>
        <w:pStyle w:val="GvdeMetni"/>
        <w:rPr>
          <w:b/>
          <w:noProof/>
          <w:sz w:val="28"/>
          <w:lang w:val="tr-TR"/>
        </w:rPr>
      </w:pPr>
    </w:p>
    <w:p w:rsidR="006415D6" w:rsidRPr="006C143E" w:rsidRDefault="006415D6">
      <w:pPr>
        <w:pStyle w:val="GvdeMetni"/>
        <w:rPr>
          <w:b/>
          <w:noProof/>
          <w:sz w:val="28"/>
          <w:lang w:val="tr-TR"/>
        </w:rPr>
      </w:pPr>
    </w:p>
    <w:p w:rsidR="006415D6" w:rsidRPr="006C143E" w:rsidRDefault="006415D6">
      <w:pPr>
        <w:pStyle w:val="GvdeMetni"/>
        <w:spacing w:before="4"/>
        <w:rPr>
          <w:b/>
          <w:noProof/>
          <w:sz w:val="34"/>
          <w:lang w:val="tr-TR"/>
        </w:rPr>
      </w:pPr>
    </w:p>
    <w:p w:rsidR="006415D6" w:rsidRPr="006C143E" w:rsidRDefault="00E01196">
      <w:pPr>
        <w:pStyle w:val="Balk1"/>
        <w:numPr>
          <w:ilvl w:val="1"/>
          <w:numId w:val="1"/>
        </w:numPr>
        <w:tabs>
          <w:tab w:val="left" w:pos="1011"/>
          <w:tab w:val="left" w:pos="1012"/>
        </w:tabs>
        <w:ind w:hanging="541"/>
        <w:rPr>
          <w:noProof/>
          <w:lang w:val="tr-TR"/>
        </w:rPr>
      </w:pPr>
      <w:bookmarkStart w:id="0" w:name="_bookmark0"/>
      <w:bookmarkEnd w:id="0"/>
      <w:r>
        <w:rPr>
          <w:noProof/>
          <w:color w:val="003E6C"/>
          <w:lang w:val="tr-TR"/>
        </w:rPr>
        <w:t>Giriş</w:t>
      </w:r>
      <w:bookmarkStart w:id="1" w:name="_GoBack"/>
      <w:bookmarkEnd w:id="1"/>
    </w:p>
    <w:p w:rsidR="006415D6" w:rsidRPr="006C143E" w:rsidRDefault="006415D6">
      <w:pPr>
        <w:pStyle w:val="GvdeMetni"/>
        <w:rPr>
          <w:b/>
          <w:noProof/>
          <w:sz w:val="28"/>
          <w:lang w:val="tr-TR"/>
        </w:rPr>
      </w:pPr>
    </w:p>
    <w:p w:rsidR="006415D6" w:rsidRPr="006C143E" w:rsidRDefault="00624E1D" w:rsidP="00624E1D">
      <w:pPr>
        <w:pStyle w:val="GvdeMetni"/>
        <w:spacing w:before="1" w:line="290" w:lineRule="auto"/>
        <w:ind w:left="471"/>
        <w:jc w:val="both"/>
        <w:rPr>
          <w:noProof/>
          <w:lang w:val="tr-TR"/>
        </w:rPr>
      </w:pPr>
      <w:r w:rsidRPr="006C143E">
        <w:rPr>
          <w:noProof/>
          <w:w w:val="90"/>
          <w:lang w:val="tr-TR"/>
        </w:rPr>
        <w:t xml:space="preserve">Linde, dünya çapındaki toplumlarda kurumsal vatandaşlık girişimlerini desteklemektedir. Ayrıca Linde tarafından, çalışanların siyasi ve demokratik süreçlere katılımı da dâhil olmak üzere sivil ve toplumsal faaliyetlerde de aktif olmaya teşvik edilir. Şirketin ve çalışanlarının gerçekleştirdiği tüm siyasi, lobicilik ve sivil faaliyetler, geçerli yasalara ve </w:t>
      </w:r>
      <w:r w:rsidRPr="006C143E">
        <w:rPr>
          <w:i/>
          <w:noProof/>
          <w:w w:val="90"/>
          <w:lang w:val="tr-TR"/>
        </w:rPr>
        <w:t>Linde'nin İş Ahlakı Kurallarına</w:t>
      </w:r>
      <w:r w:rsidRPr="006C143E">
        <w:rPr>
          <w:noProof/>
          <w:w w:val="90"/>
          <w:lang w:val="tr-TR"/>
        </w:rPr>
        <w:t xml:space="preserve"> uygun olmak zorundadır</w:t>
      </w:r>
      <w:r w:rsidR="002814ED" w:rsidRPr="006C143E">
        <w:rPr>
          <w:noProof/>
          <w:lang w:val="tr-TR"/>
        </w:rPr>
        <w:t>.</w:t>
      </w:r>
    </w:p>
    <w:p w:rsidR="006415D6" w:rsidRPr="006C143E" w:rsidRDefault="006415D6">
      <w:pPr>
        <w:pStyle w:val="GvdeMetni"/>
        <w:spacing w:before="2"/>
        <w:rPr>
          <w:noProof/>
          <w:sz w:val="21"/>
          <w:lang w:val="tr-TR"/>
        </w:rPr>
      </w:pPr>
    </w:p>
    <w:p w:rsidR="006415D6" w:rsidRPr="006C143E" w:rsidRDefault="00624E1D">
      <w:pPr>
        <w:pStyle w:val="Balk1"/>
        <w:numPr>
          <w:ilvl w:val="1"/>
          <w:numId w:val="1"/>
        </w:numPr>
        <w:tabs>
          <w:tab w:val="left" w:pos="1011"/>
          <w:tab w:val="left" w:pos="1012"/>
        </w:tabs>
        <w:ind w:hanging="541"/>
        <w:rPr>
          <w:noProof/>
          <w:lang w:val="tr-TR"/>
        </w:rPr>
      </w:pPr>
      <w:bookmarkStart w:id="2" w:name="_bookmark1"/>
      <w:bookmarkEnd w:id="2"/>
      <w:r w:rsidRPr="006C143E">
        <w:rPr>
          <w:noProof/>
          <w:color w:val="003E6C"/>
          <w:w w:val="85"/>
          <w:lang w:val="tr-TR"/>
        </w:rPr>
        <w:t xml:space="preserve">Kurumsal </w:t>
      </w:r>
      <w:r w:rsidR="00AB2959" w:rsidRPr="006C143E">
        <w:rPr>
          <w:noProof/>
          <w:color w:val="003E6C"/>
          <w:w w:val="85"/>
          <w:lang w:val="tr-TR"/>
        </w:rPr>
        <w:t>Katkılar</w:t>
      </w:r>
    </w:p>
    <w:p w:rsidR="006415D6" w:rsidRPr="006C143E" w:rsidRDefault="006415D6">
      <w:pPr>
        <w:pStyle w:val="GvdeMetni"/>
        <w:spacing w:before="1"/>
        <w:rPr>
          <w:b/>
          <w:noProof/>
          <w:sz w:val="28"/>
          <w:lang w:val="tr-TR"/>
        </w:rPr>
      </w:pPr>
    </w:p>
    <w:p w:rsidR="006415D6" w:rsidRPr="006C143E" w:rsidRDefault="00624E1D" w:rsidP="00624E1D">
      <w:pPr>
        <w:pStyle w:val="GvdeMetni"/>
        <w:spacing w:line="290" w:lineRule="auto"/>
        <w:ind w:left="471" w:right="76"/>
        <w:jc w:val="both"/>
        <w:rPr>
          <w:noProof/>
          <w:lang w:val="tr-TR"/>
        </w:rPr>
      </w:pPr>
      <w:r w:rsidRPr="006C143E">
        <w:rPr>
          <w:noProof/>
          <w:w w:val="90"/>
          <w:lang w:val="tr-TR"/>
        </w:rPr>
        <w:t>Linde, yürürlükteki yasaların izin verdiği durumlarda dahi, siyasi partilere, siyasi komitelere veya kamu görevi</w:t>
      </w:r>
      <w:r w:rsidR="00AB2959" w:rsidRPr="006C143E">
        <w:rPr>
          <w:noProof/>
          <w:w w:val="90"/>
          <w:lang w:val="tr-TR"/>
        </w:rPr>
        <w:t xml:space="preserve"> yapacak adaylara </w:t>
      </w:r>
      <w:r w:rsidRPr="006C143E">
        <w:rPr>
          <w:noProof/>
          <w:w w:val="90"/>
          <w:lang w:val="tr-TR"/>
        </w:rPr>
        <w:t xml:space="preserve">doğrudan </w:t>
      </w:r>
      <w:r w:rsidR="00AB2959" w:rsidRPr="006C143E">
        <w:rPr>
          <w:noProof/>
          <w:w w:val="90"/>
          <w:lang w:val="tr-TR"/>
        </w:rPr>
        <w:t>katkıda</w:t>
      </w:r>
      <w:r w:rsidRPr="006C143E">
        <w:rPr>
          <w:noProof/>
          <w:w w:val="90"/>
          <w:lang w:val="tr-TR"/>
        </w:rPr>
        <w:t xml:space="preserve"> bulunmak için</w:t>
      </w:r>
      <w:r w:rsidR="00AB2959" w:rsidRPr="006C143E">
        <w:rPr>
          <w:noProof/>
          <w:w w:val="90"/>
          <w:lang w:val="tr-TR"/>
        </w:rPr>
        <w:t>,</w:t>
      </w:r>
      <w:r w:rsidRPr="006C143E">
        <w:rPr>
          <w:noProof/>
          <w:w w:val="90"/>
          <w:lang w:val="tr-TR"/>
        </w:rPr>
        <w:t xml:space="preserve"> kurumsal fonları veya şirket kaynaklarını (parasal</w:t>
      </w:r>
      <w:r w:rsidR="00AB2959" w:rsidRPr="006C143E">
        <w:rPr>
          <w:noProof/>
          <w:w w:val="90"/>
          <w:lang w:val="tr-TR"/>
        </w:rPr>
        <w:t xml:space="preserve"> hizmetler</w:t>
      </w:r>
      <w:r w:rsidRPr="006C143E">
        <w:rPr>
          <w:noProof/>
          <w:w w:val="90"/>
          <w:lang w:val="tr-TR"/>
        </w:rPr>
        <w:t xml:space="preserve"> ve ayni hizmetler </w:t>
      </w:r>
      <w:r w:rsidR="00AB2959" w:rsidRPr="006C143E">
        <w:rPr>
          <w:noProof/>
          <w:w w:val="90"/>
          <w:lang w:val="tr-TR"/>
        </w:rPr>
        <w:t>dâhil</w:t>
      </w:r>
      <w:r w:rsidRPr="006C143E">
        <w:rPr>
          <w:noProof/>
          <w:w w:val="90"/>
          <w:lang w:val="tr-TR"/>
        </w:rPr>
        <w:t>) kullanmaz.</w:t>
      </w:r>
      <w:r w:rsidR="00AB2959" w:rsidRPr="006C143E">
        <w:rPr>
          <w:noProof/>
          <w:w w:val="90"/>
          <w:lang w:val="tr-TR"/>
        </w:rPr>
        <w:t xml:space="preserve"> Dolaysıyla Linde çalışanlarının şirket adına bu tür katkıları onaylamasına izin verilmez.</w:t>
      </w:r>
    </w:p>
    <w:p w:rsidR="006415D6" w:rsidRPr="006C143E" w:rsidRDefault="006415D6">
      <w:pPr>
        <w:pStyle w:val="GvdeMetni"/>
        <w:spacing w:before="2"/>
        <w:rPr>
          <w:noProof/>
          <w:sz w:val="21"/>
          <w:lang w:val="tr-TR"/>
        </w:rPr>
      </w:pPr>
    </w:p>
    <w:p w:rsidR="006415D6" w:rsidRPr="006C143E" w:rsidRDefault="002814ED">
      <w:pPr>
        <w:pStyle w:val="Balk1"/>
        <w:numPr>
          <w:ilvl w:val="1"/>
          <w:numId w:val="1"/>
        </w:numPr>
        <w:tabs>
          <w:tab w:val="left" w:pos="1011"/>
          <w:tab w:val="left" w:pos="1012"/>
        </w:tabs>
        <w:ind w:hanging="541"/>
        <w:rPr>
          <w:noProof/>
          <w:lang w:val="tr-TR"/>
        </w:rPr>
      </w:pPr>
      <w:bookmarkStart w:id="3" w:name="_bookmark2"/>
      <w:bookmarkEnd w:id="3"/>
      <w:r w:rsidRPr="006C143E">
        <w:rPr>
          <w:noProof/>
          <w:color w:val="003E6C"/>
          <w:w w:val="85"/>
          <w:lang w:val="tr-TR"/>
        </w:rPr>
        <w:t>Linde</w:t>
      </w:r>
      <w:r w:rsidR="00AB2959" w:rsidRPr="006C143E">
        <w:rPr>
          <w:noProof/>
          <w:color w:val="003E6C"/>
          <w:w w:val="85"/>
          <w:lang w:val="tr-TR"/>
        </w:rPr>
        <w:t xml:space="preserve">’nin ABD’deki Siyasi Eylem Komitesi </w:t>
      </w:r>
    </w:p>
    <w:p w:rsidR="006415D6" w:rsidRPr="006C143E" w:rsidRDefault="006415D6">
      <w:pPr>
        <w:pStyle w:val="GvdeMetni"/>
        <w:spacing w:before="1"/>
        <w:rPr>
          <w:b/>
          <w:noProof/>
          <w:sz w:val="28"/>
          <w:lang w:val="tr-TR"/>
        </w:rPr>
      </w:pPr>
    </w:p>
    <w:p w:rsidR="006415D6" w:rsidRPr="006C143E" w:rsidRDefault="00AB2959" w:rsidP="00AB2959">
      <w:pPr>
        <w:pStyle w:val="GvdeMetni"/>
        <w:spacing w:line="290" w:lineRule="auto"/>
        <w:ind w:left="471" w:right="76"/>
        <w:jc w:val="both"/>
        <w:rPr>
          <w:noProof/>
          <w:lang w:val="tr-TR"/>
        </w:rPr>
      </w:pPr>
      <w:r w:rsidRPr="006C143E">
        <w:rPr>
          <w:noProof/>
          <w:w w:val="90"/>
          <w:lang w:val="tr-TR"/>
        </w:rPr>
        <w:t>Yürürlükteki yasalara uygun olarak Linde ABD'de, çalışanların veya emeklilerin gönüllü katkılarından oluşan, bir veya daha fazla federal veya eyalet siyasi eylem komitesini ("SEK") idari açıdan destekleyebilir. Bu tür SEK’lere yapılan bireysel bağışlar isteğe bağlı olacaktır ve bir bireyin bağış kararı, o kişinin istihdam durumunu veya performans değerlendirmesini hiçbir şekilde etkilemez.</w:t>
      </w:r>
    </w:p>
    <w:p w:rsidR="006415D6" w:rsidRPr="006C143E" w:rsidRDefault="006415D6">
      <w:pPr>
        <w:pStyle w:val="GvdeMetni"/>
        <w:spacing w:before="11"/>
        <w:rPr>
          <w:noProof/>
          <w:sz w:val="23"/>
          <w:lang w:val="tr-TR"/>
        </w:rPr>
      </w:pPr>
    </w:p>
    <w:p w:rsidR="006415D6" w:rsidRPr="006C143E" w:rsidRDefault="00AB2959" w:rsidP="00AB2959">
      <w:pPr>
        <w:pStyle w:val="GvdeMetni"/>
        <w:spacing w:line="290" w:lineRule="auto"/>
        <w:ind w:left="471" w:right="56"/>
        <w:jc w:val="both"/>
        <w:rPr>
          <w:noProof/>
          <w:lang w:val="tr-TR"/>
        </w:rPr>
      </w:pPr>
      <w:r w:rsidRPr="006C143E">
        <w:rPr>
          <w:noProof/>
          <w:w w:val="90"/>
          <w:lang w:val="tr-TR"/>
        </w:rPr>
        <w:t xml:space="preserve">ABD'de Linde, ABD Federal Seçim Komisyonuna kayıtlı bir siyasi eylem komitesi olan Linde </w:t>
      </w:r>
      <w:r w:rsidR="00247544" w:rsidRPr="006C143E">
        <w:rPr>
          <w:noProof/>
          <w:w w:val="90"/>
          <w:lang w:val="tr-TR"/>
        </w:rPr>
        <w:t>SEK’in ve New York Eyaleti Seçim Kuruluna kayıtlı bir kuruluş olan Linde SEK New York’un</w:t>
      </w:r>
      <w:r w:rsidRPr="006C143E">
        <w:rPr>
          <w:noProof/>
          <w:w w:val="90"/>
          <w:lang w:val="tr-TR"/>
        </w:rPr>
        <w:t xml:space="preserve"> idari masraflarını yönetir ve öder.</w:t>
      </w:r>
      <w:r w:rsidR="00247544" w:rsidRPr="006C143E">
        <w:rPr>
          <w:noProof/>
          <w:w w:val="90"/>
          <w:lang w:val="tr-TR"/>
        </w:rPr>
        <w:t xml:space="preserve"> Linde SEK New York, sadece New York Eyaletinde belirli görevlere gelecek adayları desteklemektedir. SEK’ler gönüllü çalışan katkılarıyla finanse edilmektedir. Kurumsal fonlar Linde SEK’e veya Linde SEK New York'a bağışlanmaz. Linde SEK ve Linde SEK New York gelirleri ve ödemeleri sırasıyla Federal Seçim Komisyonuna ve New York Eyaleti Seçim Kuruluna gerektiği şekilde ayrıntılı olarak raporlanır. </w:t>
      </w:r>
      <w:r w:rsidR="002814ED" w:rsidRPr="006C143E">
        <w:rPr>
          <w:noProof/>
          <w:spacing w:val="1"/>
          <w:w w:val="90"/>
          <w:lang w:val="tr-TR"/>
        </w:rPr>
        <w:t xml:space="preserve"> </w:t>
      </w:r>
    </w:p>
    <w:p w:rsidR="006415D6" w:rsidRPr="006C143E" w:rsidRDefault="006415D6">
      <w:pPr>
        <w:pStyle w:val="GvdeMetni"/>
        <w:spacing w:before="5"/>
        <w:rPr>
          <w:noProof/>
          <w:sz w:val="23"/>
          <w:lang w:val="tr-TR"/>
        </w:rPr>
      </w:pPr>
    </w:p>
    <w:p w:rsidR="006415D6" w:rsidRPr="006C143E" w:rsidRDefault="000617E9" w:rsidP="000617E9">
      <w:pPr>
        <w:pStyle w:val="GvdeMetni"/>
        <w:spacing w:line="288" w:lineRule="auto"/>
        <w:ind w:left="471" w:right="143"/>
        <w:jc w:val="both"/>
        <w:rPr>
          <w:noProof/>
          <w:lang w:val="tr-TR"/>
        </w:rPr>
      </w:pPr>
      <w:r w:rsidRPr="006C143E">
        <w:rPr>
          <w:noProof/>
          <w:w w:val="90"/>
          <w:lang w:val="tr-TR"/>
        </w:rPr>
        <w:t>Linde SEK’in federal adaylara ve eyalet adaylarına yaptığı katkılar, yasaların izin verdiği durumlarda, siyasi parti üyeliğine bakılmaksızın durum bazında yapılır. Katkılar normalde Linde'nin şirketi etkileyen konulardaki pozisyonunu en çok destekleyen yetkililere yönlendirilir.</w:t>
      </w:r>
    </w:p>
    <w:p w:rsidR="006415D6" w:rsidRPr="006C143E" w:rsidRDefault="006415D6">
      <w:pPr>
        <w:pStyle w:val="GvdeMetni"/>
        <w:spacing w:before="6"/>
        <w:rPr>
          <w:noProof/>
          <w:sz w:val="24"/>
          <w:lang w:val="tr-TR"/>
        </w:rPr>
      </w:pPr>
    </w:p>
    <w:p w:rsidR="006415D6" w:rsidRPr="006C143E" w:rsidRDefault="000617E9" w:rsidP="000617E9">
      <w:pPr>
        <w:pStyle w:val="GvdeMetni"/>
        <w:spacing w:before="1" w:line="288" w:lineRule="auto"/>
        <w:ind w:left="471" w:right="143"/>
        <w:jc w:val="both"/>
        <w:rPr>
          <w:noProof/>
          <w:lang w:val="tr-TR"/>
        </w:rPr>
      </w:pPr>
      <w:r w:rsidRPr="006C143E">
        <w:rPr>
          <w:noProof/>
          <w:w w:val="90"/>
          <w:lang w:val="tr-TR"/>
        </w:rPr>
        <w:t xml:space="preserve">Linde SEK’in Yürütme Komitesi geniş bir çalışan temsiline sahip olup, SEK adına yapılan tüm siyasi katkıları onaylar. Linde </w:t>
      </w:r>
      <w:r w:rsidR="001969E8" w:rsidRPr="006C143E">
        <w:rPr>
          <w:noProof/>
          <w:w w:val="90"/>
          <w:lang w:val="tr-TR"/>
        </w:rPr>
        <w:t>SEK,</w:t>
      </w:r>
      <w:r w:rsidRPr="006C143E">
        <w:rPr>
          <w:noProof/>
          <w:w w:val="90"/>
          <w:lang w:val="tr-TR"/>
        </w:rPr>
        <w:t xml:space="preserve"> bir dizi iç politikaya tabidir ve bir dizi </w:t>
      </w:r>
      <w:r w:rsidR="001969E8" w:rsidRPr="006C143E">
        <w:rPr>
          <w:noProof/>
          <w:w w:val="90"/>
          <w:lang w:val="tr-TR"/>
        </w:rPr>
        <w:t xml:space="preserve">katı </w:t>
      </w:r>
      <w:r w:rsidRPr="006C143E">
        <w:rPr>
          <w:noProof/>
          <w:w w:val="90"/>
          <w:lang w:val="tr-TR"/>
        </w:rPr>
        <w:t xml:space="preserve">tüzüğe </w:t>
      </w:r>
      <w:r w:rsidR="001969E8" w:rsidRPr="006C143E">
        <w:rPr>
          <w:noProof/>
          <w:w w:val="90"/>
          <w:lang w:val="tr-TR"/>
        </w:rPr>
        <w:t xml:space="preserve">riayet etmek zorundadır. </w:t>
      </w:r>
    </w:p>
    <w:p w:rsidR="006415D6" w:rsidRPr="006C143E" w:rsidRDefault="006415D6">
      <w:pPr>
        <w:pStyle w:val="GvdeMetni"/>
        <w:spacing w:before="3"/>
        <w:rPr>
          <w:noProof/>
          <w:sz w:val="24"/>
          <w:lang w:val="tr-TR"/>
        </w:rPr>
      </w:pPr>
    </w:p>
    <w:p w:rsidR="006415D6" w:rsidRPr="006C143E" w:rsidRDefault="001969E8" w:rsidP="001969E8">
      <w:pPr>
        <w:pStyle w:val="GvdeMetni"/>
        <w:spacing w:line="290" w:lineRule="auto"/>
        <w:ind w:left="471"/>
        <w:jc w:val="both"/>
        <w:rPr>
          <w:noProof/>
          <w:lang w:val="tr-TR"/>
        </w:rPr>
      </w:pPr>
      <w:r w:rsidRPr="006C143E">
        <w:rPr>
          <w:noProof/>
          <w:w w:val="90"/>
          <w:lang w:val="tr-TR"/>
        </w:rPr>
        <w:t xml:space="preserve">Linde SEK New York, yalnızca sıralana görevler için adaylara katkıda bulunur: Vali, Vali Vekili, Başsavcı, Müfettiş, Senato ve Meclis. New York yasalarında, her ön seçim ve genel seçim için azami katkı limitleri belirlenmiştir. Linde SEK New York tarafından yapılan tüm katkılar Linde SEK New York Yürütme Komitesi tarafından onaylanır. </w:t>
      </w:r>
    </w:p>
    <w:p w:rsidR="006415D6" w:rsidRPr="006C143E" w:rsidRDefault="006415D6">
      <w:pPr>
        <w:spacing w:line="290" w:lineRule="auto"/>
        <w:rPr>
          <w:noProof/>
          <w:lang w:val="tr-TR"/>
        </w:rPr>
        <w:sectPr w:rsidR="006415D6" w:rsidRPr="006C143E">
          <w:pgSz w:w="11910" w:h="16840"/>
          <w:pgMar w:top="2080" w:right="1320" w:bottom="1120" w:left="1300" w:header="567" w:footer="920" w:gutter="0"/>
          <w:cols w:space="708"/>
        </w:sectPr>
      </w:pPr>
    </w:p>
    <w:p w:rsidR="006415D6" w:rsidRPr="006C143E" w:rsidRDefault="006415D6">
      <w:pPr>
        <w:pStyle w:val="GvdeMetni"/>
        <w:rPr>
          <w:noProof/>
          <w:lang w:val="tr-TR"/>
        </w:rPr>
      </w:pPr>
    </w:p>
    <w:p w:rsidR="006415D6" w:rsidRPr="006C143E" w:rsidRDefault="006415D6">
      <w:pPr>
        <w:pStyle w:val="GvdeMetni"/>
        <w:rPr>
          <w:noProof/>
          <w:lang w:val="tr-TR"/>
        </w:rPr>
      </w:pPr>
    </w:p>
    <w:p w:rsidR="006415D6" w:rsidRPr="006C143E" w:rsidRDefault="006415D6">
      <w:pPr>
        <w:pStyle w:val="GvdeMetni"/>
        <w:rPr>
          <w:noProof/>
          <w:lang w:val="tr-TR"/>
        </w:rPr>
      </w:pPr>
    </w:p>
    <w:p w:rsidR="006415D6" w:rsidRPr="006C143E" w:rsidRDefault="006415D6">
      <w:pPr>
        <w:pStyle w:val="GvdeMetni"/>
        <w:spacing w:before="10"/>
        <w:rPr>
          <w:noProof/>
          <w:sz w:val="25"/>
          <w:lang w:val="tr-TR"/>
        </w:rPr>
      </w:pPr>
    </w:p>
    <w:p w:rsidR="006415D6" w:rsidRPr="006C143E" w:rsidRDefault="00883F67">
      <w:pPr>
        <w:pStyle w:val="Balk1"/>
        <w:numPr>
          <w:ilvl w:val="1"/>
          <w:numId w:val="1"/>
        </w:numPr>
        <w:tabs>
          <w:tab w:val="left" w:pos="1011"/>
          <w:tab w:val="left" w:pos="1012"/>
        </w:tabs>
        <w:spacing w:before="52"/>
        <w:ind w:hanging="541"/>
        <w:rPr>
          <w:noProof/>
          <w:lang w:val="tr-TR"/>
        </w:rPr>
      </w:pPr>
      <w:bookmarkStart w:id="4" w:name="_bookmark3"/>
      <w:bookmarkEnd w:id="4"/>
      <w:r w:rsidRPr="006C143E">
        <w:rPr>
          <w:noProof/>
          <w:color w:val="003E6C"/>
          <w:w w:val="85"/>
          <w:lang w:val="tr-TR"/>
        </w:rPr>
        <w:t xml:space="preserve">Seçilen Yetkililere Hediye Verilmesi </w:t>
      </w:r>
    </w:p>
    <w:p w:rsidR="006415D6" w:rsidRPr="006C143E" w:rsidRDefault="006415D6">
      <w:pPr>
        <w:pStyle w:val="GvdeMetni"/>
        <w:spacing w:before="1"/>
        <w:rPr>
          <w:b/>
          <w:noProof/>
          <w:sz w:val="28"/>
          <w:lang w:val="tr-TR"/>
        </w:rPr>
      </w:pPr>
    </w:p>
    <w:p w:rsidR="006415D6" w:rsidRPr="006C143E" w:rsidRDefault="00883F67" w:rsidP="00883F67">
      <w:pPr>
        <w:pStyle w:val="GvdeMetni"/>
        <w:spacing w:line="290" w:lineRule="auto"/>
        <w:ind w:left="471" w:right="143"/>
        <w:jc w:val="both"/>
        <w:rPr>
          <w:noProof/>
          <w:lang w:val="tr-TR"/>
        </w:rPr>
      </w:pPr>
      <w:r w:rsidRPr="006C143E">
        <w:rPr>
          <w:noProof/>
          <w:w w:val="90"/>
          <w:lang w:val="tr-TR"/>
        </w:rPr>
        <w:t xml:space="preserve">Linde çalışanlarının herhangi bir seviyedeki seçilmiş yetkililere veya bu yetkililer için hediye vermesi, seyahat masraflarını karşılaması veya değeri olan herhangi bir işlemde bulunması yasaktır. Linde’nin </w:t>
      </w:r>
      <w:r w:rsidRPr="006C143E">
        <w:rPr>
          <w:i/>
          <w:noProof/>
          <w:w w:val="90"/>
          <w:lang w:val="tr-TR"/>
        </w:rPr>
        <w:t>Hediyeler ve Ağırlamaya İlişkin Küresel Politikasına</w:t>
      </w:r>
      <w:r w:rsidRPr="006C143E">
        <w:rPr>
          <w:noProof/>
          <w:w w:val="90"/>
          <w:lang w:val="tr-TR"/>
        </w:rPr>
        <w:t xml:space="preserve"> bakınız.</w:t>
      </w:r>
    </w:p>
    <w:p w:rsidR="006415D6" w:rsidRPr="006C143E" w:rsidRDefault="006415D6">
      <w:pPr>
        <w:pStyle w:val="GvdeMetni"/>
        <w:spacing w:before="10"/>
        <w:rPr>
          <w:noProof/>
          <w:sz w:val="23"/>
          <w:lang w:val="tr-TR"/>
        </w:rPr>
      </w:pPr>
    </w:p>
    <w:p w:rsidR="006415D6" w:rsidRPr="006C143E" w:rsidRDefault="00883F67" w:rsidP="00883F67">
      <w:pPr>
        <w:pStyle w:val="GvdeMetni"/>
        <w:spacing w:before="1" w:line="290" w:lineRule="auto"/>
        <w:ind w:left="471" w:right="56"/>
        <w:jc w:val="both"/>
        <w:rPr>
          <w:noProof/>
          <w:lang w:val="tr-TR"/>
        </w:rPr>
      </w:pPr>
      <w:r w:rsidRPr="006C143E">
        <w:rPr>
          <w:noProof/>
          <w:w w:val="90"/>
          <w:lang w:val="tr-TR"/>
        </w:rPr>
        <w:t xml:space="preserve">Bir çalışanın resmi törenlerle ilgili bir hediyenin yerel geleneklere göre uygun olduğunu düşünmesi ve yerel yasalarca yasaklanmadığını bilmesi durumunda, şirket adına herhangi bir işlem yapmadan önce, bir talep sunulmalı ve Linde'nin Küresel </w:t>
      </w:r>
      <w:r w:rsidR="00F86C49" w:rsidRPr="006C143E">
        <w:rPr>
          <w:noProof/>
          <w:w w:val="90"/>
          <w:lang w:val="tr-TR"/>
        </w:rPr>
        <w:t xml:space="preserve">Resmi İşler </w:t>
      </w:r>
      <w:r w:rsidRPr="006C143E">
        <w:rPr>
          <w:noProof/>
          <w:w w:val="90"/>
          <w:lang w:val="tr-TR"/>
        </w:rPr>
        <w:t xml:space="preserve">İcra Direktörü tarafından onaylanmalıdır. </w:t>
      </w:r>
    </w:p>
    <w:p w:rsidR="006415D6" w:rsidRPr="006C143E" w:rsidRDefault="006415D6">
      <w:pPr>
        <w:pStyle w:val="GvdeMetni"/>
        <w:spacing w:before="2"/>
        <w:rPr>
          <w:noProof/>
          <w:sz w:val="21"/>
          <w:lang w:val="tr-TR"/>
        </w:rPr>
      </w:pPr>
    </w:p>
    <w:p w:rsidR="006415D6" w:rsidRPr="006C143E" w:rsidRDefault="00883F67">
      <w:pPr>
        <w:pStyle w:val="Balk1"/>
        <w:numPr>
          <w:ilvl w:val="1"/>
          <w:numId w:val="1"/>
        </w:numPr>
        <w:tabs>
          <w:tab w:val="left" w:pos="1011"/>
          <w:tab w:val="left" w:pos="1012"/>
        </w:tabs>
        <w:ind w:hanging="541"/>
        <w:rPr>
          <w:noProof/>
          <w:lang w:val="tr-TR"/>
        </w:rPr>
      </w:pPr>
      <w:bookmarkStart w:id="5" w:name="_bookmark4"/>
      <w:bookmarkEnd w:id="5"/>
      <w:r w:rsidRPr="006C143E">
        <w:rPr>
          <w:noProof/>
          <w:color w:val="003E6C"/>
          <w:w w:val="90"/>
          <w:lang w:val="tr-TR"/>
        </w:rPr>
        <w:t xml:space="preserve">Lobicilik Faaliyetleri </w:t>
      </w:r>
    </w:p>
    <w:p w:rsidR="006415D6" w:rsidRPr="006C143E" w:rsidRDefault="006415D6">
      <w:pPr>
        <w:pStyle w:val="GvdeMetni"/>
        <w:spacing w:before="3"/>
        <w:rPr>
          <w:b/>
          <w:noProof/>
          <w:sz w:val="28"/>
          <w:lang w:val="tr-TR"/>
        </w:rPr>
      </w:pPr>
    </w:p>
    <w:p w:rsidR="006415D6" w:rsidRPr="006C143E" w:rsidRDefault="00883F67" w:rsidP="00883F67">
      <w:pPr>
        <w:pStyle w:val="GvdeMetni"/>
        <w:spacing w:before="1" w:line="288" w:lineRule="auto"/>
        <w:ind w:left="471" w:right="76"/>
        <w:jc w:val="both"/>
        <w:rPr>
          <w:noProof/>
          <w:lang w:val="tr-TR"/>
        </w:rPr>
      </w:pPr>
      <w:r w:rsidRPr="006C143E">
        <w:rPr>
          <w:noProof/>
          <w:w w:val="90"/>
          <w:lang w:val="tr-TR"/>
        </w:rPr>
        <w:t xml:space="preserve">Linde, kamu politikası konularında her </w:t>
      </w:r>
      <w:r w:rsidR="00F86C49" w:rsidRPr="006C143E">
        <w:rPr>
          <w:noProof/>
          <w:w w:val="90"/>
          <w:lang w:val="tr-TR"/>
        </w:rPr>
        <w:t>kademedeki</w:t>
      </w:r>
      <w:r w:rsidRPr="006C143E">
        <w:rPr>
          <w:noProof/>
          <w:w w:val="90"/>
          <w:lang w:val="tr-TR"/>
        </w:rPr>
        <w:t xml:space="preserve"> </w:t>
      </w:r>
      <w:r w:rsidR="00F86C49" w:rsidRPr="006C143E">
        <w:rPr>
          <w:noProof/>
          <w:w w:val="90"/>
          <w:lang w:val="tr-TR"/>
        </w:rPr>
        <w:t>devlet çalışanlarıyla muhtelif zamanlarda görüşmeler gerçekleştirmektedir. Herhangi bir şeyin</w:t>
      </w:r>
      <w:r w:rsidRPr="006C143E">
        <w:rPr>
          <w:noProof/>
          <w:w w:val="90"/>
          <w:lang w:val="tr-TR"/>
        </w:rPr>
        <w:t xml:space="preserve"> şirketimizin çıkarına en uygun olduğunu </w:t>
      </w:r>
      <w:r w:rsidR="00F86C49" w:rsidRPr="006C143E">
        <w:rPr>
          <w:noProof/>
          <w:w w:val="90"/>
          <w:lang w:val="tr-TR"/>
        </w:rPr>
        <w:t>tespit ettiğimizde</w:t>
      </w:r>
      <w:r w:rsidRPr="006C143E">
        <w:rPr>
          <w:noProof/>
          <w:w w:val="90"/>
          <w:lang w:val="tr-TR"/>
        </w:rPr>
        <w:t xml:space="preserve">, bakış açımızı destekleyen bilgi ve </w:t>
      </w:r>
      <w:r w:rsidR="00F86C49" w:rsidRPr="006C143E">
        <w:rPr>
          <w:noProof/>
          <w:w w:val="90"/>
          <w:lang w:val="tr-TR"/>
        </w:rPr>
        <w:t>görüşler edinmek üzere</w:t>
      </w:r>
      <w:r w:rsidRPr="006C143E">
        <w:rPr>
          <w:noProof/>
          <w:w w:val="90"/>
          <w:lang w:val="tr-TR"/>
        </w:rPr>
        <w:t xml:space="preserve"> </w:t>
      </w:r>
      <w:r w:rsidR="00F86C49" w:rsidRPr="006C143E">
        <w:rPr>
          <w:noProof/>
          <w:w w:val="90"/>
          <w:lang w:val="tr-TR"/>
        </w:rPr>
        <w:t xml:space="preserve">hükümetlerle birlikte çalışabiliriz.  </w:t>
      </w:r>
    </w:p>
    <w:p w:rsidR="006415D6" w:rsidRPr="006C143E" w:rsidRDefault="006415D6">
      <w:pPr>
        <w:pStyle w:val="GvdeMetni"/>
        <w:spacing w:before="3"/>
        <w:rPr>
          <w:noProof/>
          <w:sz w:val="24"/>
          <w:lang w:val="tr-TR"/>
        </w:rPr>
      </w:pPr>
    </w:p>
    <w:p w:rsidR="006415D6" w:rsidRPr="006C143E" w:rsidRDefault="00F86C49" w:rsidP="00F86C49">
      <w:pPr>
        <w:pStyle w:val="GvdeMetni"/>
        <w:spacing w:line="290" w:lineRule="auto"/>
        <w:ind w:left="471" w:right="143"/>
        <w:jc w:val="both"/>
        <w:rPr>
          <w:noProof/>
          <w:lang w:val="tr-TR"/>
        </w:rPr>
      </w:pPr>
      <w:r w:rsidRPr="006C143E">
        <w:rPr>
          <w:noProof/>
          <w:w w:val="90"/>
          <w:lang w:val="tr-TR"/>
        </w:rPr>
        <w:t xml:space="preserve">Herhangi bir Linde yan kuruluşu tarafından gerçekleştirilen muhtemel bir lobicilik faaliyeti, Linde'nin Küresel Resmi İşler İcra Direktörünün ön onayını gerektirir. Ticari birlikler bağlamında müşterek lobicilik faaliyetleriyle ilgili olarak, </w:t>
      </w:r>
      <w:r w:rsidRPr="006C143E">
        <w:rPr>
          <w:i/>
          <w:noProof/>
          <w:w w:val="90"/>
          <w:lang w:val="tr-TR"/>
        </w:rPr>
        <w:t>Küresel Rekabet Hukuku Politikasının</w:t>
      </w:r>
      <w:r w:rsidRPr="006C143E">
        <w:rPr>
          <w:noProof/>
          <w:w w:val="90"/>
          <w:lang w:val="tr-TR"/>
        </w:rPr>
        <w:t xml:space="preserve"> gerekliliklerine uymalı ve uyum görevlinize veya atanmış hukuk müşavirinize ulaşmalısınız.</w:t>
      </w:r>
    </w:p>
    <w:p w:rsidR="006415D6" w:rsidRPr="006C143E" w:rsidRDefault="006415D6">
      <w:pPr>
        <w:pStyle w:val="GvdeMetni"/>
        <w:spacing w:before="11"/>
        <w:rPr>
          <w:noProof/>
          <w:sz w:val="23"/>
          <w:lang w:val="tr-TR"/>
        </w:rPr>
      </w:pPr>
    </w:p>
    <w:p w:rsidR="006415D6" w:rsidRPr="006C143E" w:rsidRDefault="00F86C49" w:rsidP="00F86C49">
      <w:pPr>
        <w:pStyle w:val="GvdeMetni"/>
        <w:spacing w:line="288" w:lineRule="auto"/>
        <w:ind w:left="471" w:right="76"/>
        <w:jc w:val="both"/>
        <w:rPr>
          <w:noProof/>
          <w:lang w:val="tr-TR"/>
        </w:rPr>
      </w:pPr>
      <w:r w:rsidRPr="006C143E">
        <w:rPr>
          <w:noProof/>
          <w:w w:val="90"/>
          <w:lang w:val="tr-TR"/>
        </w:rPr>
        <w:t xml:space="preserve">Linde, ABD'deki lobicilik faaliyetlerini ve harcamalarını yasaların gerektirdiği şekilde açıklar. Tüm ABD federal lobicilik maliyetleri ve bunların ilgili olduğu konular, Lobi Faaliyetlerini Açıklama Yasası uyarınca açıklanmaktadır. Bu Yasa, </w:t>
      </w:r>
      <w:r w:rsidR="006C143E" w:rsidRPr="006C143E">
        <w:rPr>
          <w:noProof/>
          <w:w w:val="90"/>
          <w:lang w:val="tr-TR"/>
        </w:rPr>
        <w:t xml:space="preserve">raporların Linde tarafından ABD Kongresine sunulmasını şart koşar.  </w:t>
      </w:r>
    </w:p>
    <w:p w:rsidR="006415D6" w:rsidRPr="006C143E" w:rsidRDefault="006415D6">
      <w:pPr>
        <w:pStyle w:val="GvdeMetni"/>
        <w:spacing w:before="9"/>
        <w:rPr>
          <w:noProof/>
          <w:sz w:val="21"/>
          <w:lang w:val="tr-TR"/>
        </w:rPr>
      </w:pPr>
    </w:p>
    <w:p w:rsidR="006415D6" w:rsidRPr="006C143E" w:rsidRDefault="006C143E">
      <w:pPr>
        <w:pStyle w:val="Balk1"/>
        <w:numPr>
          <w:ilvl w:val="1"/>
          <w:numId w:val="1"/>
        </w:numPr>
        <w:tabs>
          <w:tab w:val="left" w:pos="1011"/>
          <w:tab w:val="left" w:pos="1012"/>
        </w:tabs>
        <w:ind w:hanging="541"/>
        <w:rPr>
          <w:noProof/>
          <w:lang w:val="tr-TR"/>
        </w:rPr>
      </w:pPr>
      <w:bookmarkStart w:id="6" w:name="_bookmark5"/>
      <w:bookmarkEnd w:id="6"/>
      <w:r w:rsidRPr="006C143E">
        <w:rPr>
          <w:noProof/>
          <w:color w:val="003E6C"/>
          <w:w w:val="90"/>
          <w:lang w:val="tr-TR"/>
        </w:rPr>
        <w:t>Yürürlük Tarihi</w:t>
      </w:r>
    </w:p>
    <w:p w:rsidR="006415D6" w:rsidRPr="006C143E" w:rsidRDefault="006415D6">
      <w:pPr>
        <w:pStyle w:val="GvdeMetni"/>
        <w:spacing w:before="1"/>
        <w:rPr>
          <w:b/>
          <w:noProof/>
          <w:sz w:val="28"/>
          <w:lang w:val="tr-TR"/>
        </w:rPr>
      </w:pPr>
    </w:p>
    <w:p w:rsidR="006415D6" w:rsidRPr="006C143E" w:rsidRDefault="006C143E">
      <w:pPr>
        <w:pStyle w:val="GvdeMetni"/>
        <w:ind w:left="471"/>
        <w:rPr>
          <w:noProof/>
          <w:lang w:val="tr-TR"/>
        </w:rPr>
      </w:pPr>
      <w:r w:rsidRPr="006C143E">
        <w:rPr>
          <w:noProof/>
          <w:w w:val="90"/>
          <w:lang w:val="tr-TR"/>
        </w:rPr>
        <w:t xml:space="preserve">Bu politika 2021 yılı Nisan ayından itibaren yürürlüğe girer. </w:t>
      </w:r>
    </w:p>
    <w:p w:rsidR="006415D6" w:rsidRPr="006C143E" w:rsidRDefault="006415D6">
      <w:pPr>
        <w:pStyle w:val="GvdeMetni"/>
        <w:spacing w:before="7"/>
        <w:rPr>
          <w:noProof/>
          <w:sz w:val="25"/>
          <w:lang w:val="tr-TR"/>
        </w:rPr>
      </w:pPr>
    </w:p>
    <w:p w:rsidR="006415D6" w:rsidRPr="006C143E" w:rsidRDefault="006C143E">
      <w:pPr>
        <w:pStyle w:val="Balk1"/>
        <w:numPr>
          <w:ilvl w:val="1"/>
          <w:numId w:val="1"/>
        </w:numPr>
        <w:tabs>
          <w:tab w:val="left" w:pos="1011"/>
          <w:tab w:val="left" w:pos="1012"/>
        </w:tabs>
        <w:ind w:hanging="541"/>
        <w:rPr>
          <w:noProof/>
          <w:lang w:val="tr-TR"/>
        </w:rPr>
      </w:pPr>
      <w:bookmarkStart w:id="7" w:name="_bookmark6"/>
      <w:bookmarkEnd w:id="7"/>
      <w:r w:rsidRPr="006C143E">
        <w:rPr>
          <w:noProof/>
          <w:color w:val="003E6C"/>
          <w:w w:val="90"/>
          <w:lang w:val="tr-TR"/>
        </w:rPr>
        <w:t>Sorular ve Ek Bilgiler</w:t>
      </w:r>
    </w:p>
    <w:p w:rsidR="006415D6" w:rsidRPr="006C143E" w:rsidRDefault="006415D6">
      <w:pPr>
        <w:pStyle w:val="GvdeMetni"/>
        <w:spacing w:before="1"/>
        <w:rPr>
          <w:b/>
          <w:noProof/>
          <w:sz w:val="28"/>
          <w:lang w:val="tr-TR"/>
        </w:rPr>
      </w:pPr>
    </w:p>
    <w:p w:rsidR="006415D6" w:rsidRPr="006C143E" w:rsidRDefault="006C143E" w:rsidP="006C143E">
      <w:pPr>
        <w:pStyle w:val="GvdeMetni"/>
        <w:spacing w:line="290" w:lineRule="auto"/>
        <w:ind w:left="471"/>
        <w:jc w:val="both"/>
        <w:rPr>
          <w:noProof/>
          <w:lang w:val="tr-TR"/>
        </w:rPr>
      </w:pPr>
      <w:r w:rsidRPr="006C143E">
        <w:rPr>
          <w:noProof/>
          <w:w w:val="90"/>
          <w:lang w:val="tr-TR"/>
        </w:rPr>
        <w:t>Bu politikayla ilgili sorularınız varsa, bu soruları Küresel Resmi İşler İcra Direktörüne, uyum görevlinize veya atanmış hukuk müşavirinize doğrudan yöneltebilirsiniz.</w:t>
      </w:r>
    </w:p>
    <w:sectPr w:rsidR="006415D6" w:rsidRPr="006C143E">
      <w:pgSz w:w="11910" w:h="16840"/>
      <w:pgMar w:top="2080" w:right="1320" w:bottom="1120" w:left="1300" w:header="567" w:footer="9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B9" w:rsidRDefault="004139B9">
      <w:r>
        <w:separator/>
      </w:r>
    </w:p>
  </w:endnote>
  <w:endnote w:type="continuationSeparator" w:id="0">
    <w:p w:rsidR="004139B9" w:rsidRDefault="004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D6" w:rsidRDefault="004139B9">
    <w:pPr>
      <w:pStyle w:val="GvdeMetni"/>
      <w:spacing w:line="14" w:lineRule="auto"/>
    </w:pPr>
    <w:r>
      <w:pict>
        <v:shapetype id="_x0000_t202" coordsize="21600,21600" o:spt="202" path="m,l,21600r21600,l21600,xe">
          <v:stroke joinstyle="miter"/>
          <v:path gradientshapeok="t" o:connecttype="rect"/>
        </v:shapetype>
        <v:shape id="_x0000_s2050" type="#_x0000_t202" style="position:absolute;margin-left:75pt;margin-top:784pt;width:170.15pt;height:10.05pt;z-index:-15800320;mso-position-horizontal-relative:page;mso-position-vertical-relative:page" filled="f" stroked="f">
          <v:textbox inset="0,0,0,0">
            <w:txbxContent>
              <w:p w:rsidR="006415D6" w:rsidRPr="00624E1D" w:rsidRDefault="00624E1D">
                <w:pPr>
                  <w:spacing w:line="178" w:lineRule="exact"/>
                  <w:ind w:left="20"/>
                  <w:rPr>
                    <w:b/>
                    <w:sz w:val="16"/>
                    <w:lang w:val="tr-TR"/>
                  </w:rPr>
                </w:pPr>
                <w:r>
                  <w:rPr>
                    <w:b/>
                    <w:spacing w:val="-1"/>
                    <w:w w:val="90"/>
                    <w:sz w:val="16"/>
                    <w:lang w:val="tr-TR"/>
                  </w:rPr>
                  <w:t xml:space="preserve">Siyasi </w:t>
                </w:r>
                <w:r w:rsidR="001969E8">
                  <w:rPr>
                    <w:b/>
                    <w:spacing w:val="-1"/>
                    <w:w w:val="90"/>
                    <w:sz w:val="16"/>
                    <w:lang w:val="tr-TR"/>
                  </w:rPr>
                  <w:t>Bağışlarla</w:t>
                </w:r>
                <w:r>
                  <w:rPr>
                    <w:b/>
                    <w:spacing w:val="-1"/>
                    <w:w w:val="90"/>
                    <w:sz w:val="16"/>
                    <w:lang w:val="tr-TR"/>
                  </w:rPr>
                  <w:t xml:space="preserve"> İlgili Küresel Politika </w:t>
                </w:r>
              </w:p>
            </w:txbxContent>
          </v:textbox>
          <w10:wrap anchorx="page" anchory="page"/>
        </v:shape>
      </w:pict>
    </w:r>
    <w:r>
      <w:pict>
        <v:shape id="_x0000_s2051" style="position:absolute;margin-left:70.6pt;margin-top:781.9pt;width:453.85pt;height:.5pt;z-index:-15800832;mso-position-horizontal-relative:page;mso-position-vertical-relative:page" coordorigin="1412,15638" coordsize="9077,10" path="m10488,15638r-4530,l5949,15638r-4537,l1412,15648r4537,l5958,15648r4530,l10488,15638xe" fillcolor="black" stroked="f">
          <v:path arrowok="t"/>
          <w10:wrap anchorx="page" anchory="page"/>
        </v:shape>
      </w:pict>
    </w:r>
    <w:r>
      <w:pict>
        <v:shape id="_x0000_s2049" type="#_x0000_t202" style="position:absolute;margin-left:500.4pt;margin-top:784.35pt;width:22.65pt;height:9.6pt;z-index:-15799808;mso-position-horizontal-relative:page;mso-position-vertical-relative:page" filled="f" stroked="f">
          <v:textbox inset="0,0,0,0">
            <w:txbxContent>
              <w:p w:rsidR="006415D6" w:rsidRDefault="002814ED">
                <w:pPr>
                  <w:spacing w:line="169" w:lineRule="exact"/>
                  <w:ind w:left="60"/>
                  <w:rPr>
                    <w:b/>
                    <w:sz w:val="15"/>
                  </w:rPr>
                </w:pPr>
                <w:r>
                  <w:fldChar w:fldCharType="begin"/>
                </w:r>
                <w:r>
                  <w:rPr>
                    <w:b/>
                    <w:w w:val="95"/>
                    <w:sz w:val="15"/>
                  </w:rPr>
                  <w:instrText xml:space="preserve"> PAGE </w:instrText>
                </w:r>
                <w:r>
                  <w:fldChar w:fldCharType="separate"/>
                </w:r>
                <w:r w:rsidR="00E01196">
                  <w:rPr>
                    <w:b/>
                    <w:noProof/>
                    <w:w w:val="95"/>
                    <w:sz w:val="15"/>
                  </w:rPr>
                  <w:t>3</w:t>
                </w:r>
                <w:r>
                  <w:fldChar w:fldCharType="end"/>
                </w:r>
                <w:r>
                  <w:rPr>
                    <w:b/>
                    <w:spacing w:val="-11"/>
                    <w:w w:val="95"/>
                    <w:sz w:val="15"/>
                  </w:rPr>
                  <w:t xml:space="preserve"> </w:t>
                </w:r>
                <w:r>
                  <w:rPr>
                    <w:w w:val="95"/>
                    <w:sz w:val="15"/>
                  </w:rPr>
                  <w:t>/</w:t>
                </w:r>
                <w:r>
                  <w:rPr>
                    <w:spacing w:val="-9"/>
                    <w:w w:val="95"/>
                    <w:sz w:val="15"/>
                  </w:rPr>
                  <w:t xml:space="preserve"> </w:t>
                </w:r>
                <w:r>
                  <w:rPr>
                    <w:b/>
                    <w:w w:val="95"/>
                    <w:sz w:val="15"/>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B9" w:rsidRDefault="004139B9">
      <w:r>
        <w:separator/>
      </w:r>
    </w:p>
  </w:footnote>
  <w:footnote w:type="continuationSeparator" w:id="0">
    <w:p w:rsidR="004139B9" w:rsidRDefault="0041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D6" w:rsidRDefault="002814ED">
    <w:pPr>
      <w:pStyle w:val="GvdeMetni"/>
      <w:spacing w:line="14" w:lineRule="auto"/>
    </w:pPr>
    <w:r>
      <w:rPr>
        <w:noProof/>
        <w:lang w:val="tr-TR" w:eastAsia="tr-TR"/>
      </w:rPr>
      <w:drawing>
        <wp:anchor distT="0" distB="0" distL="0" distR="0" simplePos="0" relativeHeight="251657216" behindDoc="1" locked="0" layoutInCell="1" allowOverlap="1">
          <wp:simplePos x="0" y="0"/>
          <wp:positionH relativeFrom="page">
            <wp:posOffset>5256529</wp:posOffset>
          </wp:positionH>
          <wp:positionV relativeFrom="page">
            <wp:posOffset>360006</wp:posOffset>
          </wp:positionV>
          <wp:extent cx="1939925" cy="968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9925" cy="968159"/>
                  </a:xfrm>
                  <a:prstGeom prst="rect">
                    <a:avLst/>
                  </a:prstGeom>
                </pic:spPr>
              </pic:pic>
            </a:graphicData>
          </a:graphic>
        </wp:anchor>
      </w:drawing>
    </w:r>
    <w:r>
      <w:rPr>
        <w:noProof/>
        <w:lang w:val="tr-TR" w:eastAsia="tr-TR"/>
      </w:rPr>
      <w:drawing>
        <wp:anchor distT="0" distB="0" distL="0" distR="0" simplePos="0" relativeHeight="251659264" behindDoc="1" locked="0" layoutInCell="1" allowOverlap="1">
          <wp:simplePos x="0" y="0"/>
          <wp:positionH relativeFrom="page">
            <wp:posOffset>909976</wp:posOffset>
          </wp:positionH>
          <wp:positionV relativeFrom="page">
            <wp:posOffset>443210</wp:posOffset>
          </wp:positionV>
          <wp:extent cx="2363635" cy="1672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63635" cy="1672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630A8"/>
    <w:multiLevelType w:val="hybridMultilevel"/>
    <w:tmpl w:val="A24A8772"/>
    <w:lvl w:ilvl="0" w:tplc="BCB0514A">
      <w:start w:val="1"/>
      <w:numFmt w:val="upperRoman"/>
      <w:lvlText w:val="%1"/>
      <w:lvlJc w:val="left"/>
      <w:pPr>
        <w:ind w:left="735" w:hanging="624"/>
        <w:jc w:val="left"/>
      </w:pPr>
      <w:rPr>
        <w:rFonts w:ascii="Trebuchet MS" w:eastAsia="Trebuchet MS" w:hAnsi="Trebuchet MS" w:cs="Trebuchet MS" w:hint="default"/>
        <w:b/>
        <w:bCs/>
        <w:w w:val="95"/>
        <w:sz w:val="20"/>
        <w:szCs w:val="20"/>
        <w:lang w:val="en-US" w:eastAsia="en-US" w:bidi="ar-SA"/>
      </w:rPr>
    </w:lvl>
    <w:lvl w:ilvl="1" w:tplc="13A02480">
      <w:start w:val="1"/>
      <w:numFmt w:val="upperRoman"/>
      <w:lvlText w:val="%2"/>
      <w:lvlJc w:val="left"/>
      <w:pPr>
        <w:ind w:left="1011" w:hanging="540"/>
        <w:jc w:val="left"/>
      </w:pPr>
      <w:rPr>
        <w:rFonts w:ascii="Trebuchet MS" w:eastAsia="Trebuchet MS" w:hAnsi="Trebuchet MS" w:cs="Trebuchet MS" w:hint="default"/>
        <w:b/>
        <w:bCs/>
        <w:color w:val="003E6C"/>
        <w:w w:val="96"/>
        <w:sz w:val="28"/>
        <w:szCs w:val="28"/>
        <w:lang w:val="en-US" w:eastAsia="en-US" w:bidi="ar-SA"/>
      </w:rPr>
    </w:lvl>
    <w:lvl w:ilvl="2" w:tplc="A814B67A">
      <w:numFmt w:val="bullet"/>
      <w:lvlText w:val="•"/>
      <w:lvlJc w:val="left"/>
      <w:pPr>
        <w:ind w:left="1938" w:hanging="540"/>
      </w:pPr>
      <w:rPr>
        <w:rFonts w:hint="default"/>
        <w:lang w:val="en-US" w:eastAsia="en-US" w:bidi="ar-SA"/>
      </w:rPr>
    </w:lvl>
    <w:lvl w:ilvl="3" w:tplc="F3DCE95A">
      <w:numFmt w:val="bullet"/>
      <w:lvlText w:val="•"/>
      <w:lvlJc w:val="left"/>
      <w:pPr>
        <w:ind w:left="2856" w:hanging="540"/>
      </w:pPr>
      <w:rPr>
        <w:rFonts w:hint="default"/>
        <w:lang w:val="en-US" w:eastAsia="en-US" w:bidi="ar-SA"/>
      </w:rPr>
    </w:lvl>
    <w:lvl w:ilvl="4" w:tplc="CD467196">
      <w:numFmt w:val="bullet"/>
      <w:lvlText w:val="•"/>
      <w:lvlJc w:val="left"/>
      <w:pPr>
        <w:ind w:left="3775" w:hanging="540"/>
      </w:pPr>
      <w:rPr>
        <w:rFonts w:hint="default"/>
        <w:lang w:val="en-US" w:eastAsia="en-US" w:bidi="ar-SA"/>
      </w:rPr>
    </w:lvl>
    <w:lvl w:ilvl="5" w:tplc="F884733E">
      <w:numFmt w:val="bullet"/>
      <w:lvlText w:val="•"/>
      <w:lvlJc w:val="left"/>
      <w:pPr>
        <w:ind w:left="4693" w:hanging="540"/>
      </w:pPr>
      <w:rPr>
        <w:rFonts w:hint="default"/>
        <w:lang w:val="en-US" w:eastAsia="en-US" w:bidi="ar-SA"/>
      </w:rPr>
    </w:lvl>
    <w:lvl w:ilvl="6" w:tplc="7C2AB468">
      <w:numFmt w:val="bullet"/>
      <w:lvlText w:val="•"/>
      <w:lvlJc w:val="left"/>
      <w:pPr>
        <w:ind w:left="5612" w:hanging="540"/>
      </w:pPr>
      <w:rPr>
        <w:rFonts w:hint="default"/>
        <w:lang w:val="en-US" w:eastAsia="en-US" w:bidi="ar-SA"/>
      </w:rPr>
    </w:lvl>
    <w:lvl w:ilvl="7" w:tplc="AFAE2FCE">
      <w:numFmt w:val="bullet"/>
      <w:lvlText w:val="•"/>
      <w:lvlJc w:val="left"/>
      <w:pPr>
        <w:ind w:left="6530" w:hanging="540"/>
      </w:pPr>
      <w:rPr>
        <w:rFonts w:hint="default"/>
        <w:lang w:val="en-US" w:eastAsia="en-US" w:bidi="ar-SA"/>
      </w:rPr>
    </w:lvl>
    <w:lvl w:ilvl="8" w:tplc="6D3ACA5E">
      <w:numFmt w:val="bullet"/>
      <w:lvlText w:val="•"/>
      <w:lvlJc w:val="left"/>
      <w:pPr>
        <w:ind w:left="7449" w:hanging="5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415D6"/>
    <w:rsid w:val="000617E9"/>
    <w:rsid w:val="001969E8"/>
    <w:rsid w:val="00247544"/>
    <w:rsid w:val="002814ED"/>
    <w:rsid w:val="004139B9"/>
    <w:rsid w:val="00624E1D"/>
    <w:rsid w:val="006415D6"/>
    <w:rsid w:val="006C143E"/>
    <w:rsid w:val="00883F67"/>
    <w:rsid w:val="00AB2959"/>
    <w:rsid w:val="00E01196"/>
    <w:rsid w:val="00F8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DEA761-65CB-4C01-AC7F-DA970B17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1011" w:hanging="54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27"/>
      <w:ind w:left="735" w:hanging="625"/>
    </w:pPr>
    <w:rPr>
      <w:b/>
      <w:bCs/>
      <w:sz w:val="20"/>
      <w:szCs w:val="20"/>
    </w:r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31"/>
      <w:ind w:left="471"/>
    </w:pPr>
    <w:rPr>
      <w:b/>
      <w:bCs/>
      <w:sz w:val="40"/>
      <w:szCs w:val="40"/>
    </w:rPr>
  </w:style>
  <w:style w:type="paragraph" w:styleId="ListeParagraf">
    <w:name w:val="List Paragraph"/>
    <w:basedOn w:val="Normal"/>
    <w:uiPriority w:val="1"/>
    <w:qFormat/>
    <w:pPr>
      <w:ind w:left="735" w:hanging="62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24E1D"/>
    <w:pPr>
      <w:tabs>
        <w:tab w:val="center" w:pos="4536"/>
        <w:tab w:val="right" w:pos="9072"/>
      </w:tabs>
    </w:pPr>
  </w:style>
  <w:style w:type="character" w:customStyle="1" w:styleId="stbilgiChar">
    <w:name w:val="Üstbilgi Char"/>
    <w:basedOn w:val="VarsaylanParagrafYazTipi"/>
    <w:link w:val="stbilgi"/>
    <w:uiPriority w:val="99"/>
    <w:rsid w:val="00624E1D"/>
    <w:rPr>
      <w:rFonts w:ascii="Trebuchet MS" w:eastAsia="Trebuchet MS" w:hAnsi="Trebuchet MS" w:cs="Trebuchet MS"/>
    </w:rPr>
  </w:style>
  <w:style w:type="paragraph" w:styleId="Altbilgi">
    <w:name w:val="footer"/>
    <w:basedOn w:val="Normal"/>
    <w:link w:val="AltbilgiChar"/>
    <w:uiPriority w:val="99"/>
    <w:unhideWhenUsed/>
    <w:rsid w:val="00624E1D"/>
    <w:pPr>
      <w:tabs>
        <w:tab w:val="center" w:pos="4536"/>
        <w:tab w:val="right" w:pos="9072"/>
      </w:tabs>
    </w:pPr>
  </w:style>
  <w:style w:type="character" w:customStyle="1" w:styleId="AltbilgiChar">
    <w:name w:val="Altbilgi Char"/>
    <w:basedOn w:val="VarsaylanParagrafYazTipi"/>
    <w:link w:val="Altbilgi"/>
    <w:uiPriority w:val="99"/>
    <w:rsid w:val="00624E1D"/>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4</cp:revision>
  <dcterms:created xsi:type="dcterms:W3CDTF">2023-10-08T05:56:00Z</dcterms:created>
  <dcterms:modified xsi:type="dcterms:W3CDTF">2023-10-09T15:06:00Z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2023-10-08T00:00:00Z</vt:filetime>
  </property>
</Properties>
</file>